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E5F0C1" w14:textId="77777777" w:rsidR="00310DCF" w:rsidRDefault="00310DCF" w:rsidP="00310DCF">
      <w:pPr>
        <w:pStyle w:val="2"/>
        <w:rPr>
          <w:rFonts w:ascii="Times New Roman" w:hAnsi="Times New Roman" w:cs="Times New Roman"/>
        </w:rPr>
      </w:pPr>
      <w:r w:rsidRPr="00EA3D27">
        <w:rPr>
          <w:rFonts w:ascii="Times New Roman" w:hAnsi="Times New Roman" w:cs="Times New Roman"/>
        </w:rPr>
        <w:t>Supplementary Figure</w:t>
      </w:r>
    </w:p>
    <w:p w14:paraId="6B51E17F" w14:textId="77777777" w:rsidR="00310DCF" w:rsidRPr="008D1A16" w:rsidRDefault="00310DCF" w:rsidP="00F21FF6">
      <w:pPr>
        <w:jc w:val="center"/>
      </w:pPr>
      <w:r>
        <w:drawing>
          <wp:inline distT="0" distB="0" distL="0" distR="0" wp14:anchorId="529370E4" wp14:editId="7D5EB57D">
            <wp:extent cx="5274310" cy="4039870"/>
            <wp:effectExtent l="0" t="0" r="0" b="0"/>
            <wp:docPr id="1238516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51659" name="图片 12385165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3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4A69E" w14:textId="7977B9B1" w:rsidR="00310DCF" w:rsidRPr="006715C8" w:rsidRDefault="006154E9" w:rsidP="00310DCF">
      <w:pPr>
        <w:rPr>
          <w:rFonts w:ascii="Times New Roman" w:hAnsi="Times New Roman"/>
          <w:bCs/>
          <w:szCs w:val="21"/>
        </w:rPr>
      </w:pPr>
      <w:r w:rsidRPr="00FD7E6E">
        <w:rPr>
          <w:rFonts w:ascii="Times New Roman" w:hAnsi="Times New Roman"/>
          <w:b/>
          <w:bCs/>
        </w:rPr>
        <w:t xml:space="preserve">Fig. </w:t>
      </w:r>
      <w:r w:rsidR="00310DCF" w:rsidRPr="00C7735E">
        <w:rPr>
          <w:rFonts w:ascii="Times New Roman" w:hAnsi="Times New Roman" w:hint="eastAsia"/>
          <w:b/>
          <w:bCs/>
          <w:color w:val="000000" w:themeColor="text1"/>
          <w:szCs w:val="21"/>
        </w:rPr>
        <w:t>S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1</w:t>
      </w:r>
      <w:r w:rsidR="00310DCF" w:rsidRPr="00C7735E">
        <w:rPr>
          <w:rFonts w:ascii="Times New Roman" w:hAnsi="Times New Roman" w:hint="eastAsia"/>
          <w:color w:val="000000" w:themeColor="text1"/>
          <w:szCs w:val="21"/>
        </w:rPr>
        <w:t xml:space="preserve"> 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The association between the CD-NTase gene set and </w:t>
      </w:r>
      <w:r w:rsidR="00310DCF">
        <w:rPr>
          <w:rFonts w:ascii="Times New Roman" w:hAnsi="Times New Roman"/>
          <w:color w:val="000000" w:themeColor="text1"/>
          <w:szCs w:val="21"/>
        </w:rPr>
        <w:t>O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verall </w:t>
      </w:r>
      <w:r w:rsidR="00310DCF">
        <w:rPr>
          <w:rFonts w:ascii="Times New Roman" w:hAnsi="Times New Roman"/>
          <w:color w:val="000000" w:themeColor="text1"/>
          <w:szCs w:val="21"/>
        </w:rPr>
        <w:t>S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urvival (OS) within the TCGA database was examined. 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(</w:t>
      </w:r>
      <w:r w:rsidR="00310DCF" w:rsidRPr="00EF611C">
        <w:rPr>
          <w:rFonts w:ascii="Times New Roman" w:hAnsi="Times New Roman"/>
          <w:b/>
          <w:bCs/>
          <w:color w:val="000000" w:themeColor="text1"/>
          <w:szCs w:val="21"/>
        </w:rPr>
        <w:t>A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)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 </w:t>
      </w:r>
      <w:r w:rsidR="00310DCF">
        <w:rPr>
          <w:rFonts w:ascii="Times New Roman" w:hAnsi="Times New Roman"/>
          <w:color w:val="000000" w:themeColor="text1"/>
          <w:szCs w:val="21"/>
        </w:rPr>
        <w:t>U</w:t>
      </w:r>
      <w:r w:rsidR="00310DCF" w:rsidRPr="006715C8">
        <w:rPr>
          <w:rFonts w:ascii="Times New Roman" w:hAnsi="Times New Roman"/>
          <w:color w:val="000000" w:themeColor="text1"/>
          <w:szCs w:val="21"/>
        </w:rPr>
        <w:t>nivariate Cox proportional</w:t>
      </w:r>
      <w:r w:rsidR="00310DCF">
        <w:rPr>
          <w:rFonts w:ascii="Times New Roman" w:hAnsi="Times New Roman"/>
          <w:color w:val="000000" w:themeColor="text1"/>
          <w:szCs w:val="21"/>
        </w:rPr>
        <w:t>-</w:t>
      </w:r>
      <w:r w:rsidR="00310DCF" w:rsidRPr="006715C8">
        <w:rPr>
          <w:rFonts w:ascii="Times New Roman" w:hAnsi="Times New Roman"/>
          <w:color w:val="000000" w:themeColor="text1"/>
          <w:szCs w:val="21"/>
        </w:rPr>
        <w:t>hazards model, based on the TCGA database, was utilized to analyze the correlation between the CD-NTase gene set and 33 types of tumors.</w:t>
      </w:r>
      <w:r w:rsidR="00310DCF" w:rsidRPr="006715C8">
        <w:rPr>
          <w:rFonts w:ascii="Times New Roman" w:hAnsi="Times New Roman"/>
          <w:b/>
          <w:bCs/>
          <w:color w:val="000000" w:themeColor="text1"/>
          <w:szCs w:val="21"/>
        </w:rPr>
        <w:t xml:space="preserve"> 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(</w:t>
      </w:r>
      <w:r w:rsidR="00310DCF" w:rsidRPr="00EF611C">
        <w:rPr>
          <w:rFonts w:ascii="Times New Roman" w:hAnsi="Times New Roman"/>
          <w:b/>
          <w:bCs/>
          <w:color w:val="000000" w:themeColor="text1"/>
          <w:szCs w:val="21"/>
        </w:rPr>
        <w:t>B-H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)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 The CD-NTase gene set score was categorized into high and low groups for Kaplan–Meier curve analysis. Significant differences in OS were observed in seven tumor types (</w:t>
      </w:r>
      <w:r w:rsidR="00310DCF" w:rsidRPr="006715C8">
        <w:rPr>
          <w:rFonts w:ascii="Times New Roman" w:hAnsi="Times New Roman"/>
          <w:i/>
          <w:iCs/>
          <w:color w:val="000000" w:themeColor="text1"/>
          <w:szCs w:val="21"/>
        </w:rPr>
        <w:t>P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 &lt; 0.05).</w:t>
      </w:r>
    </w:p>
    <w:p w14:paraId="47B8E160" w14:textId="77777777" w:rsidR="00310DCF" w:rsidRDefault="00310DCF" w:rsidP="00310DCF"/>
    <w:p w14:paraId="1AAB01E2" w14:textId="77777777" w:rsidR="00310DCF" w:rsidRDefault="00310DCF" w:rsidP="00F21FF6">
      <w:pPr>
        <w:jc w:val="center"/>
      </w:pPr>
      <w:r>
        <w:lastRenderedPageBreak/>
        <w:drawing>
          <wp:inline distT="0" distB="0" distL="0" distR="0" wp14:anchorId="3565745F" wp14:editId="102E3303">
            <wp:extent cx="5274310" cy="4221480"/>
            <wp:effectExtent l="0" t="0" r="0" b="0"/>
            <wp:docPr id="15019959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99597" name="图片 15019959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2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4050F" w14:textId="1ACB679C" w:rsidR="00310DCF" w:rsidRPr="008D1A16" w:rsidRDefault="006154E9" w:rsidP="00310DCF">
      <w:pPr>
        <w:rPr>
          <w:rFonts w:ascii="Times New Roman" w:hAnsi="Times New Roman"/>
          <w:color w:val="000000" w:themeColor="text1"/>
          <w:szCs w:val="21"/>
        </w:rPr>
      </w:pPr>
      <w:r w:rsidRPr="00FD7E6E">
        <w:rPr>
          <w:rFonts w:ascii="Times New Roman" w:hAnsi="Times New Roman"/>
          <w:b/>
          <w:bCs/>
        </w:rPr>
        <w:t xml:space="preserve">Fig. </w:t>
      </w:r>
      <w:r w:rsidR="00310DCF" w:rsidRPr="00C7735E">
        <w:rPr>
          <w:rFonts w:ascii="Times New Roman" w:hAnsi="Times New Roman" w:hint="eastAsia"/>
          <w:b/>
          <w:bCs/>
          <w:color w:val="000000" w:themeColor="text1"/>
          <w:szCs w:val="21"/>
        </w:rPr>
        <w:t>S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2</w:t>
      </w:r>
      <w:r w:rsidR="00310DCF" w:rsidRPr="00C7735E">
        <w:rPr>
          <w:rFonts w:ascii="Times New Roman" w:hAnsi="Times New Roman" w:hint="eastAsia"/>
          <w:color w:val="000000" w:themeColor="text1"/>
          <w:szCs w:val="21"/>
        </w:rPr>
        <w:t xml:space="preserve"> 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The Receiver Operating Characteristic (ROC) curve analysis of the CD-NTase gene set across 22 different cancer types demonstrates its diagnostic value. Notably, in nine cancer types – 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A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)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BRCA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,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B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)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CESC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,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C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)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CHOL,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 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D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)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ESCA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, 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E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)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HNSC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,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F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)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KICH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,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G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)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KIRC,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 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H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)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KIRP,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 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I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)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THCA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 – the area under the ROC curve (AUC) exceeds 0.7, indicating the gene set's significant diagnostic efficacy (this analysis only includes results where the AUC is greater than 0.7).</w:t>
      </w:r>
    </w:p>
    <w:p w14:paraId="56F2CEA3" w14:textId="77777777" w:rsidR="00310DCF" w:rsidRDefault="00310DCF" w:rsidP="00310DCF"/>
    <w:p w14:paraId="3BEE3A47" w14:textId="77777777" w:rsidR="00310DCF" w:rsidRDefault="00310DCF" w:rsidP="00F21FF6">
      <w:pPr>
        <w:jc w:val="center"/>
      </w:pPr>
      <w:r>
        <w:lastRenderedPageBreak/>
        <w:drawing>
          <wp:inline distT="0" distB="0" distL="0" distR="0" wp14:anchorId="5767AD0A" wp14:editId="3F664641">
            <wp:extent cx="5274310" cy="6935470"/>
            <wp:effectExtent l="0" t="0" r="0" b="0"/>
            <wp:docPr id="157671176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711768" name="图片 157671176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3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E8152" w14:textId="10F8EE49" w:rsidR="00310DCF" w:rsidRPr="008D1A16" w:rsidRDefault="006154E9" w:rsidP="00310DCF">
      <w:pPr>
        <w:rPr>
          <w:rFonts w:ascii="Times New Roman" w:hAnsi="Times New Roman"/>
          <w:color w:val="000000" w:themeColor="text1"/>
          <w:szCs w:val="21"/>
        </w:rPr>
      </w:pPr>
      <w:r w:rsidRPr="00FD7E6E">
        <w:rPr>
          <w:rFonts w:ascii="Times New Roman" w:hAnsi="Times New Roman"/>
          <w:b/>
          <w:bCs/>
        </w:rPr>
        <w:t xml:space="preserve">Fig. </w:t>
      </w:r>
      <w:r w:rsidR="00310DCF" w:rsidRPr="00C7735E">
        <w:rPr>
          <w:rFonts w:ascii="Times New Roman" w:hAnsi="Times New Roman" w:hint="eastAsia"/>
          <w:b/>
          <w:bCs/>
          <w:color w:val="000000" w:themeColor="text1"/>
          <w:szCs w:val="21"/>
        </w:rPr>
        <w:t>S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3</w:t>
      </w:r>
      <w:r w:rsidR="00310DCF" w:rsidRPr="00C7735E">
        <w:rPr>
          <w:rFonts w:ascii="Times New Roman" w:hAnsi="Times New Roman" w:hint="eastAsia"/>
          <w:color w:val="000000" w:themeColor="text1"/>
          <w:szCs w:val="21"/>
        </w:rPr>
        <w:t xml:space="preserve"> 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The study conducted a pan-cancer analysis to examine the correlations between the CD-NTase gene set and immune cell 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>i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nfiltration ratio, immune score, microsatellite instability (MSI), and tumor mutation burden (TMB). 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A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) Heatmap illustrating the correlation between the CD-NTase gene set and immune cell ratio. 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B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) Heatmap displaying the correlation between the CD-NTase gene set and the immune score.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 xml:space="preserve"> 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C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) Radar chart showing the correlation between the CD-NTase gene set and microsatellite instability (MSI).</w:t>
      </w:r>
      <w:r w:rsidR="00310DCF" w:rsidRPr="008D1A16">
        <w:rPr>
          <w:rFonts w:ascii="Times New Roman" w:hAnsi="Times New Roman" w:hint="eastAsia"/>
          <w:color w:val="000000" w:themeColor="text1"/>
          <w:szCs w:val="21"/>
        </w:rPr>
        <w:t xml:space="preserve"> 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(</w:t>
      </w:r>
      <w:r w:rsidR="00310DCF">
        <w:rPr>
          <w:rFonts w:ascii="Times New Roman" w:hAnsi="Times New Roman"/>
          <w:b/>
          <w:bCs/>
          <w:color w:val="000000" w:themeColor="text1"/>
          <w:szCs w:val="21"/>
        </w:rPr>
        <w:t>D</w:t>
      </w:r>
      <w:r w:rsidR="00310DCF" w:rsidRPr="008D1A16">
        <w:rPr>
          <w:rFonts w:ascii="Times New Roman" w:hAnsi="Times New Roman"/>
          <w:color w:val="000000" w:themeColor="text1"/>
          <w:szCs w:val="21"/>
        </w:rPr>
        <w:t>) Radar chart demonstrating the correlation between the CD-NTase gene set and tumor mutation burden (TMB). Red squares indicate a positive correlation and blue squares a negative correlation. Empty squares denote a lack of significant correlation. Statistical significance is indicated with *</w:t>
      </w:r>
      <w:r w:rsidR="00310DCF" w:rsidRPr="008D1A16">
        <w:rPr>
          <w:rFonts w:ascii="Times New Roman" w:hAnsi="Times New Roman"/>
          <w:i/>
          <w:iCs/>
          <w:color w:val="000000" w:themeColor="text1"/>
          <w:szCs w:val="21"/>
        </w:rPr>
        <w:t>P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 &lt; 0.05 and **</w:t>
      </w:r>
      <w:r w:rsidR="00310DCF" w:rsidRPr="008D1A16">
        <w:rPr>
          <w:rFonts w:ascii="Times New Roman" w:hAnsi="Times New Roman"/>
          <w:i/>
          <w:iCs/>
          <w:color w:val="000000" w:themeColor="text1"/>
          <w:szCs w:val="21"/>
        </w:rPr>
        <w:t>P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 &lt; 0.01.</w:t>
      </w:r>
    </w:p>
    <w:p w14:paraId="21F4043A" w14:textId="77777777" w:rsidR="00310DCF" w:rsidRPr="00E5496B" w:rsidRDefault="00310DCF" w:rsidP="00310DCF">
      <w:pPr>
        <w:rPr>
          <w:rFonts w:ascii="Times New Roman" w:hAnsi="Times New Roman"/>
          <w:color w:val="000000" w:themeColor="text1"/>
          <w:szCs w:val="21"/>
        </w:rPr>
      </w:pPr>
    </w:p>
    <w:p w14:paraId="2952EBF4" w14:textId="53D43482" w:rsidR="00310DCF" w:rsidRPr="00FC42CB" w:rsidRDefault="00310DCF" w:rsidP="00310DCF">
      <w:pPr>
        <w:jc w:val="center"/>
      </w:pPr>
    </w:p>
    <w:p w14:paraId="4F71107A" w14:textId="77777777" w:rsidR="00310DCF" w:rsidRPr="009B619A" w:rsidRDefault="00310DCF" w:rsidP="00F21FF6">
      <w:pPr>
        <w:jc w:val="center"/>
      </w:pPr>
      <w:r>
        <w:drawing>
          <wp:inline distT="0" distB="0" distL="0" distR="0" wp14:anchorId="1708757F" wp14:editId="3A904BE6">
            <wp:extent cx="5274310" cy="3528060"/>
            <wp:effectExtent l="0" t="0" r="0" b="2540"/>
            <wp:docPr id="160885189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851894" name="图片 160885189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1FADA" w14:textId="2AA198A5" w:rsidR="00310DCF" w:rsidRDefault="006154E9" w:rsidP="00310DCF">
      <w:pPr>
        <w:rPr>
          <w:rFonts w:ascii="Times New Roman" w:hAnsi="Times New Roman"/>
          <w:szCs w:val="21"/>
        </w:rPr>
      </w:pPr>
      <w:r w:rsidRPr="00FD7E6E">
        <w:rPr>
          <w:rFonts w:ascii="Times New Roman" w:hAnsi="Times New Roman"/>
          <w:b/>
          <w:bCs/>
        </w:rPr>
        <w:t xml:space="preserve">Fig. </w:t>
      </w:r>
      <w:r w:rsidR="00310DCF" w:rsidRPr="00C7735E">
        <w:rPr>
          <w:rFonts w:ascii="Times New Roman" w:hAnsi="Times New Roman" w:hint="eastAsia"/>
          <w:b/>
          <w:bCs/>
          <w:szCs w:val="21"/>
        </w:rPr>
        <w:t>S</w:t>
      </w:r>
      <w:r>
        <w:rPr>
          <w:rFonts w:ascii="Times New Roman" w:hAnsi="Times New Roman"/>
          <w:b/>
          <w:bCs/>
          <w:szCs w:val="21"/>
        </w:rPr>
        <w:t>4</w:t>
      </w:r>
      <w:r w:rsidR="00310DCF" w:rsidRPr="00C7735E">
        <w:rPr>
          <w:rFonts w:ascii="Times New Roman" w:hAnsi="Times New Roman" w:hint="eastAsia"/>
          <w:b/>
          <w:bCs/>
          <w:szCs w:val="21"/>
        </w:rPr>
        <w:t xml:space="preserve"> </w:t>
      </w:r>
      <w:r w:rsidR="00310DCF" w:rsidRPr="00C7735E">
        <w:rPr>
          <w:rFonts w:ascii="Times New Roman" w:hAnsi="Times New Roman" w:hint="eastAsia"/>
          <w:szCs w:val="21"/>
        </w:rPr>
        <w:t xml:space="preserve">The </w:t>
      </w:r>
      <w:r w:rsidR="00310DCF" w:rsidRPr="00C86614">
        <w:rPr>
          <w:rFonts w:ascii="Times New Roman" w:hAnsi="Times New Roman"/>
          <w:bCs/>
          <w:szCs w:val="21"/>
        </w:rPr>
        <w:t>microarray expression profiles</w:t>
      </w:r>
      <w:r w:rsidR="00310DCF" w:rsidRPr="00C7735E">
        <w:rPr>
          <w:rFonts w:ascii="Times New Roman" w:hAnsi="Times New Roman" w:hint="eastAsia"/>
          <w:szCs w:val="21"/>
        </w:rPr>
        <w:t xml:space="preserve"> from the GSE53624 and GSE53622 were merged, and batch effects were corrected using the</w:t>
      </w:r>
      <w:r w:rsidR="00310DCF">
        <w:rPr>
          <w:rFonts w:ascii="Times New Roman" w:hAnsi="Times New Roman"/>
          <w:szCs w:val="21"/>
        </w:rPr>
        <w:t xml:space="preserve"> “</w:t>
      </w:r>
      <w:r w:rsidR="00310DCF" w:rsidRPr="00C7735E">
        <w:rPr>
          <w:rFonts w:ascii="Times New Roman" w:hAnsi="Times New Roman" w:hint="eastAsia"/>
          <w:szCs w:val="21"/>
        </w:rPr>
        <w:t>ComBat</w:t>
      </w:r>
      <w:r w:rsidR="00310DCF">
        <w:rPr>
          <w:rFonts w:ascii="Times New Roman" w:hAnsi="Times New Roman"/>
          <w:szCs w:val="21"/>
        </w:rPr>
        <w:t xml:space="preserve">” </w:t>
      </w:r>
      <w:r w:rsidR="00310DCF" w:rsidRPr="00C7735E">
        <w:rPr>
          <w:rFonts w:ascii="Times New Roman" w:hAnsi="Times New Roman" w:hint="eastAsia"/>
          <w:szCs w:val="21"/>
        </w:rPr>
        <w:t>function from the</w:t>
      </w:r>
      <w:r w:rsidR="00310DCF">
        <w:rPr>
          <w:rFonts w:ascii="Times New Roman" w:hAnsi="Times New Roman" w:hint="eastAsia"/>
          <w:szCs w:val="21"/>
        </w:rPr>
        <w:t xml:space="preserve"> </w:t>
      </w:r>
      <w:r w:rsidR="00310DCF">
        <w:rPr>
          <w:rFonts w:ascii="Times New Roman" w:hAnsi="Times New Roman"/>
          <w:szCs w:val="21"/>
        </w:rPr>
        <w:t>“</w:t>
      </w:r>
      <w:r w:rsidR="00310DCF" w:rsidRPr="00C7735E">
        <w:rPr>
          <w:rFonts w:ascii="Times New Roman" w:hAnsi="Times New Roman" w:hint="eastAsia"/>
          <w:szCs w:val="21"/>
        </w:rPr>
        <w:t>sva</w:t>
      </w:r>
      <w:r w:rsidR="00310DCF">
        <w:rPr>
          <w:rFonts w:ascii="Times New Roman" w:hAnsi="Times New Roman"/>
          <w:szCs w:val="21"/>
        </w:rPr>
        <w:t xml:space="preserve">” </w:t>
      </w:r>
      <w:r w:rsidR="00310DCF" w:rsidRPr="00C7735E">
        <w:rPr>
          <w:rFonts w:ascii="Times New Roman" w:hAnsi="Times New Roman" w:hint="eastAsia"/>
          <w:szCs w:val="21"/>
        </w:rPr>
        <w:t>package in R. Figures illustrate the data before and after batch effect correction</w:t>
      </w:r>
      <w:r w:rsidR="00310DCF">
        <w:rPr>
          <w:rFonts w:ascii="Times New Roman" w:hAnsi="Times New Roman"/>
          <w:szCs w:val="21"/>
        </w:rPr>
        <w:t>. (</w:t>
      </w:r>
      <w:r w:rsidR="00310DCF">
        <w:rPr>
          <w:rFonts w:ascii="Times New Roman" w:hAnsi="Times New Roman"/>
          <w:b/>
          <w:bCs/>
          <w:szCs w:val="21"/>
        </w:rPr>
        <w:t>A</w:t>
      </w:r>
      <w:r w:rsidR="00310DCF">
        <w:rPr>
          <w:rFonts w:ascii="Times New Roman" w:hAnsi="Times New Roman"/>
          <w:szCs w:val="21"/>
        </w:rPr>
        <w:t xml:space="preserve">) </w:t>
      </w:r>
      <w:r w:rsidR="00310DCF" w:rsidRPr="00C7735E">
        <w:rPr>
          <w:rFonts w:ascii="Times New Roman" w:hAnsi="Times New Roman" w:hint="eastAsia"/>
          <w:szCs w:val="21"/>
        </w:rPr>
        <w:t>PCA plot before batch effect correction,</w:t>
      </w:r>
      <w:r w:rsidR="00310DCF">
        <w:rPr>
          <w:rFonts w:ascii="Times New Roman" w:hAnsi="Times New Roman"/>
          <w:szCs w:val="21"/>
        </w:rPr>
        <w:t xml:space="preserve"> (</w:t>
      </w:r>
      <w:r w:rsidR="00310DCF">
        <w:rPr>
          <w:rFonts w:ascii="Times New Roman" w:hAnsi="Times New Roman"/>
          <w:b/>
          <w:bCs/>
          <w:szCs w:val="21"/>
        </w:rPr>
        <w:t>B</w:t>
      </w:r>
      <w:r w:rsidR="00310DCF">
        <w:rPr>
          <w:rFonts w:ascii="Times New Roman" w:hAnsi="Times New Roman"/>
          <w:szCs w:val="21"/>
        </w:rPr>
        <w:t xml:space="preserve">) </w:t>
      </w:r>
      <w:r w:rsidR="00310DCF" w:rsidRPr="00C7735E">
        <w:rPr>
          <w:rFonts w:ascii="Times New Roman" w:hAnsi="Times New Roman" w:hint="eastAsia"/>
          <w:szCs w:val="21"/>
        </w:rPr>
        <w:t>PCA plot after batch effect correction</w:t>
      </w:r>
      <w:r w:rsidR="00310DCF">
        <w:rPr>
          <w:rFonts w:ascii="Times New Roman" w:hAnsi="Times New Roman"/>
          <w:szCs w:val="21"/>
        </w:rPr>
        <w:t>. (</w:t>
      </w:r>
      <w:r w:rsidR="00310DCF">
        <w:rPr>
          <w:rFonts w:ascii="Times New Roman" w:hAnsi="Times New Roman"/>
          <w:b/>
          <w:bCs/>
          <w:szCs w:val="21"/>
        </w:rPr>
        <w:t>C</w:t>
      </w:r>
      <w:r w:rsidR="00310DCF">
        <w:rPr>
          <w:rFonts w:ascii="Times New Roman" w:hAnsi="Times New Roman"/>
          <w:szCs w:val="21"/>
        </w:rPr>
        <w:t>)</w:t>
      </w:r>
      <w:r w:rsidR="00310DCF" w:rsidRPr="00C7735E">
        <w:rPr>
          <w:rFonts w:ascii="Times New Roman" w:hAnsi="Times New Roman" w:hint="eastAsia"/>
          <w:szCs w:val="21"/>
        </w:rPr>
        <w:t xml:space="preserve"> Box plot of expression levels before batch effect correction, and </w:t>
      </w:r>
      <w:r w:rsidR="00310DCF">
        <w:rPr>
          <w:rFonts w:ascii="Times New Roman" w:hAnsi="Times New Roman"/>
          <w:szCs w:val="21"/>
        </w:rPr>
        <w:t>(</w:t>
      </w:r>
      <w:r w:rsidR="00310DCF">
        <w:rPr>
          <w:rFonts w:ascii="Times New Roman" w:hAnsi="Times New Roman"/>
          <w:b/>
          <w:bCs/>
          <w:szCs w:val="21"/>
        </w:rPr>
        <w:t>D</w:t>
      </w:r>
      <w:r w:rsidR="00310DCF" w:rsidRPr="008D1A16">
        <w:rPr>
          <w:rFonts w:ascii="Times New Roman" w:hAnsi="Times New Roman"/>
          <w:szCs w:val="21"/>
        </w:rPr>
        <w:t>)</w:t>
      </w:r>
      <w:r w:rsidR="00310DCF">
        <w:rPr>
          <w:rFonts w:ascii="Times New Roman" w:hAnsi="Times New Roman"/>
          <w:szCs w:val="21"/>
        </w:rPr>
        <w:t xml:space="preserve"> </w:t>
      </w:r>
      <w:r w:rsidR="00310DCF" w:rsidRPr="00C7735E">
        <w:rPr>
          <w:rFonts w:ascii="Times New Roman" w:hAnsi="Times New Roman" w:hint="eastAsia"/>
          <w:szCs w:val="21"/>
        </w:rPr>
        <w:t>Box plot of expression levels after batch effect correction.</w:t>
      </w:r>
    </w:p>
    <w:p w14:paraId="5E515190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70B2EF61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1B9655ED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716B17F9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3483921C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3689102B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433E0CD9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3E7FC8C2" w14:textId="77777777" w:rsidR="00310DCF" w:rsidRPr="00C7735E" w:rsidRDefault="00310DCF" w:rsidP="00310DCF">
      <w:pPr>
        <w:jc w:val="left"/>
        <w:rPr>
          <w:rFonts w:ascii="Times New Roman" w:hAnsi="Times New Roman"/>
          <w:szCs w:val="21"/>
        </w:rPr>
      </w:pPr>
    </w:p>
    <w:p w14:paraId="474591D8" w14:textId="77777777" w:rsidR="00310DCF" w:rsidRPr="00C7735E" w:rsidRDefault="00310DCF" w:rsidP="00F21FF6">
      <w:pPr>
        <w:jc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lastRenderedPageBreak/>
        <w:drawing>
          <wp:inline distT="0" distB="0" distL="0" distR="0" wp14:anchorId="4CBC8A53" wp14:editId="78136ED6">
            <wp:extent cx="5274310" cy="3495040"/>
            <wp:effectExtent l="0" t="0" r="0" b="0"/>
            <wp:docPr id="11011185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118510" name="图片 11011185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8DD5D" w14:textId="1016519C" w:rsidR="00310DCF" w:rsidRPr="006715C8" w:rsidRDefault="006154E9" w:rsidP="00310DCF">
      <w:pPr>
        <w:rPr>
          <w:rFonts w:ascii="Times New Roman" w:hAnsi="Times New Roman"/>
          <w:bCs/>
          <w:szCs w:val="21"/>
        </w:rPr>
      </w:pPr>
      <w:r w:rsidRPr="00FD7E6E">
        <w:rPr>
          <w:rFonts w:ascii="Times New Roman" w:hAnsi="Times New Roman"/>
          <w:b/>
          <w:bCs/>
        </w:rPr>
        <w:t xml:space="preserve">Fig. </w:t>
      </w:r>
      <w:r w:rsidR="00310DCF" w:rsidRPr="00C7735E">
        <w:rPr>
          <w:rFonts w:ascii="Times New Roman" w:hAnsi="Times New Roman"/>
          <w:b/>
          <w:bCs/>
          <w:szCs w:val="21"/>
        </w:rPr>
        <w:t>S</w:t>
      </w:r>
      <w:r>
        <w:rPr>
          <w:rFonts w:ascii="Times New Roman" w:hAnsi="Times New Roman"/>
          <w:b/>
          <w:bCs/>
          <w:szCs w:val="21"/>
        </w:rPr>
        <w:t>5</w:t>
      </w:r>
      <w:r w:rsidR="00310DCF" w:rsidRPr="00C7735E">
        <w:rPr>
          <w:rFonts w:ascii="Times New Roman" w:hAnsi="Times New Roman"/>
          <w:szCs w:val="21"/>
        </w:rPr>
        <w:t xml:space="preserve"> Association between MB21D2 expression and OS in TCGA Database</w:t>
      </w:r>
      <w:r w:rsidR="00310DCF">
        <w:rPr>
          <w:rFonts w:ascii="Times New Roman" w:hAnsi="Times New Roman"/>
          <w:szCs w:val="21"/>
        </w:rPr>
        <w:t xml:space="preserve">. </w:t>
      </w:r>
      <w:r w:rsidR="00310DCF" w:rsidRPr="008D1A16">
        <w:rPr>
          <w:rFonts w:ascii="Times New Roman" w:hAnsi="Times New Roman"/>
          <w:szCs w:val="21"/>
        </w:rPr>
        <w:t>(</w:t>
      </w:r>
      <w:r w:rsidR="00310DCF">
        <w:rPr>
          <w:rFonts w:ascii="Times New Roman" w:hAnsi="Times New Roman"/>
          <w:b/>
          <w:bCs/>
          <w:szCs w:val="21"/>
        </w:rPr>
        <w:t>A</w:t>
      </w:r>
      <w:r w:rsidR="00310DCF" w:rsidRPr="008D1A16">
        <w:rPr>
          <w:rFonts w:ascii="Times New Roman" w:hAnsi="Times New Roman"/>
          <w:szCs w:val="21"/>
        </w:rPr>
        <w:t>)</w:t>
      </w:r>
      <w:r w:rsidR="00310DCF">
        <w:rPr>
          <w:rFonts w:ascii="Times New Roman" w:hAnsi="Times New Roman"/>
          <w:szCs w:val="21"/>
        </w:rPr>
        <w:t xml:space="preserve"> </w:t>
      </w:r>
      <w:r w:rsidR="00310DCF" w:rsidRPr="00C7735E">
        <w:rPr>
          <w:rFonts w:ascii="Times New Roman" w:hAnsi="Times New Roman"/>
          <w:szCs w:val="21"/>
        </w:rPr>
        <w:t>Analysis of the relationship between MB21D2 expression and OS across various cancer types using univariate Cox regression based on TCGA Database</w:t>
      </w:r>
      <w:r w:rsidR="00310DCF">
        <w:rPr>
          <w:rFonts w:ascii="Times New Roman" w:hAnsi="Times New Roman"/>
          <w:szCs w:val="21"/>
        </w:rPr>
        <w:t>.</w:t>
      </w:r>
      <w:r w:rsidR="00310DCF" w:rsidRPr="00C7735E">
        <w:rPr>
          <w:rFonts w:ascii="Times New Roman" w:hAnsi="Times New Roman"/>
          <w:szCs w:val="21"/>
        </w:rPr>
        <w:t xml:space="preserve"> </w:t>
      </w:r>
      <w:r w:rsidR="00310DCF" w:rsidRPr="008D1A16">
        <w:rPr>
          <w:rFonts w:ascii="Times New Roman" w:hAnsi="Times New Roman"/>
          <w:szCs w:val="21"/>
        </w:rPr>
        <w:t>(</w:t>
      </w:r>
      <w:r w:rsidR="00310DCF">
        <w:rPr>
          <w:rFonts w:ascii="Times New Roman" w:hAnsi="Times New Roman"/>
          <w:b/>
          <w:bCs/>
          <w:szCs w:val="21"/>
        </w:rPr>
        <w:t>B</w:t>
      </w:r>
      <w:r w:rsidR="00310DCF" w:rsidRPr="008D1A16">
        <w:rPr>
          <w:rFonts w:ascii="Times New Roman" w:hAnsi="Times New Roman"/>
          <w:b/>
          <w:bCs/>
          <w:szCs w:val="21"/>
        </w:rPr>
        <w:t>-</w:t>
      </w:r>
      <w:r w:rsidR="00310DCF">
        <w:rPr>
          <w:rFonts w:ascii="Times New Roman" w:hAnsi="Times New Roman"/>
          <w:b/>
          <w:bCs/>
          <w:szCs w:val="21"/>
        </w:rPr>
        <w:t>F</w:t>
      </w:r>
      <w:r w:rsidR="00310DCF" w:rsidRPr="008D1A16">
        <w:rPr>
          <w:rFonts w:ascii="Times New Roman" w:hAnsi="Times New Roman"/>
          <w:szCs w:val="21"/>
        </w:rPr>
        <w:t>)</w:t>
      </w:r>
      <w:r w:rsidR="00310DCF" w:rsidRPr="00C7735E">
        <w:rPr>
          <w:rFonts w:ascii="Times New Roman" w:hAnsi="Times New Roman"/>
          <w:szCs w:val="21"/>
        </w:rPr>
        <w:t xml:space="preserve"> Division of each cancer type in TCGA into high and low MB21D2 expression groups to explore their association with OS.</w:t>
      </w:r>
      <w:r w:rsidR="00310DCF" w:rsidRPr="00757249">
        <w:rPr>
          <w:rFonts w:ascii="Times New Roman" w:hAnsi="Times New Roman"/>
          <w:color w:val="000000" w:themeColor="text1"/>
          <w:szCs w:val="21"/>
        </w:rPr>
        <w:t xml:space="preserve"> 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Significant differences in OS were observed in </w:t>
      </w:r>
      <w:r w:rsidR="00310DCF">
        <w:rPr>
          <w:rFonts w:ascii="Times New Roman" w:hAnsi="Times New Roman"/>
          <w:color w:val="000000" w:themeColor="text1"/>
          <w:szCs w:val="21"/>
        </w:rPr>
        <w:t>five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 tumor types (</w:t>
      </w:r>
      <w:r w:rsidR="00310DCF" w:rsidRPr="006715C8">
        <w:rPr>
          <w:rFonts w:ascii="Times New Roman" w:hAnsi="Times New Roman"/>
          <w:i/>
          <w:iCs/>
          <w:color w:val="000000" w:themeColor="text1"/>
          <w:szCs w:val="21"/>
        </w:rPr>
        <w:t>P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 &lt; 0.05).</w:t>
      </w:r>
    </w:p>
    <w:p w14:paraId="30512715" w14:textId="77777777" w:rsidR="00310DCF" w:rsidRDefault="00310DCF" w:rsidP="00310DCF">
      <w:pPr>
        <w:jc w:val="left"/>
      </w:pPr>
    </w:p>
    <w:p w14:paraId="3455127E" w14:textId="77777777" w:rsidR="00310DCF" w:rsidRDefault="00310DCF" w:rsidP="00310DCF">
      <w:pPr>
        <w:jc w:val="left"/>
      </w:pPr>
    </w:p>
    <w:p w14:paraId="3EB338A6" w14:textId="77777777" w:rsidR="00310DCF" w:rsidRDefault="00310DCF" w:rsidP="00310DCF">
      <w:pPr>
        <w:jc w:val="left"/>
      </w:pPr>
    </w:p>
    <w:p w14:paraId="7C912014" w14:textId="77777777" w:rsidR="00310DCF" w:rsidRDefault="00310DCF" w:rsidP="00310DCF">
      <w:pPr>
        <w:jc w:val="left"/>
      </w:pPr>
    </w:p>
    <w:p w14:paraId="66888F0E" w14:textId="77777777" w:rsidR="00310DCF" w:rsidRDefault="00310DCF" w:rsidP="00310DCF">
      <w:pPr>
        <w:jc w:val="left"/>
      </w:pPr>
    </w:p>
    <w:p w14:paraId="1FE50C97" w14:textId="77777777" w:rsidR="00310DCF" w:rsidRDefault="00310DCF" w:rsidP="00310DCF">
      <w:pPr>
        <w:jc w:val="left"/>
      </w:pPr>
    </w:p>
    <w:p w14:paraId="3120C40A" w14:textId="77777777" w:rsidR="00310DCF" w:rsidRDefault="00310DCF" w:rsidP="00310DCF">
      <w:pPr>
        <w:jc w:val="left"/>
      </w:pPr>
    </w:p>
    <w:p w14:paraId="510D7C8A" w14:textId="77777777" w:rsidR="00310DCF" w:rsidRDefault="00310DCF" w:rsidP="00310DCF">
      <w:pPr>
        <w:jc w:val="left"/>
      </w:pPr>
    </w:p>
    <w:p w14:paraId="0D6F89DC" w14:textId="77777777" w:rsidR="00310DCF" w:rsidRDefault="00310DCF" w:rsidP="00310DCF">
      <w:pPr>
        <w:jc w:val="left"/>
      </w:pPr>
    </w:p>
    <w:p w14:paraId="0B087A97" w14:textId="77777777" w:rsidR="00310DCF" w:rsidRDefault="00310DCF" w:rsidP="00310DCF">
      <w:pPr>
        <w:jc w:val="left"/>
      </w:pPr>
    </w:p>
    <w:p w14:paraId="5F53B923" w14:textId="77777777" w:rsidR="00310DCF" w:rsidRDefault="00310DCF" w:rsidP="00310DCF">
      <w:pPr>
        <w:jc w:val="left"/>
      </w:pPr>
    </w:p>
    <w:p w14:paraId="29F25C17" w14:textId="77777777" w:rsidR="00310DCF" w:rsidRDefault="00310DCF" w:rsidP="00F21FF6">
      <w:pPr>
        <w:jc w:val="center"/>
      </w:pPr>
      <w:r>
        <w:lastRenderedPageBreak/>
        <w:drawing>
          <wp:inline distT="0" distB="0" distL="0" distR="0" wp14:anchorId="1C8FFC09" wp14:editId="5AC49526">
            <wp:extent cx="5274310" cy="2632710"/>
            <wp:effectExtent l="0" t="0" r="0" b="0"/>
            <wp:docPr id="5642539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253923" name="图片 5642539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3B92B" w14:textId="5905D498" w:rsidR="00310DCF" w:rsidRPr="008D1A16" w:rsidRDefault="006154E9" w:rsidP="00310DCF">
      <w:pPr>
        <w:rPr>
          <w:rFonts w:ascii="Times New Roman" w:hAnsi="Times New Roman"/>
          <w:szCs w:val="21"/>
        </w:rPr>
      </w:pPr>
      <w:r w:rsidRPr="00FD7E6E">
        <w:rPr>
          <w:rFonts w:ascii="Times New Roman" w:hAnsi="Times New Roman"/>
          <w:b/>
          <w:bCs/>
        </w:rPr>
        <w:t xml:space="preserve">Fig. </w:t>
      </w:r>
      <w:r w:rsidR="00310DCF" w:rsidRPr="00C7735E">
        <w:rPr>
          <w:rFonts w:ascii="Times New Roman" w:hAnsi="Times New Roman"/>
          <w:b/>
          <w:bCs/>
          <w:szCs w:val="21"/>
        </w:rPr>
        <w:t>S</w:t>
      </w:r>
      <w:r>
        <w:rPr>
          <w:rFonts w:ascii="Times New Roman" w:hAnsi="Times New Roman"/>
          <w:b/>
          <w:bCs/>
          <w:szCs w:val="21"/>
        </w:rPr>
        <w:t>6</w:t>
      </w:r>
      <w:r w:rsidR="00310DCF" w:rsidRPr="00C7735E">
        <w:rPr>
          <w:rFonts w:ascii="Times New Roman" w:hAnsi="Times New Roman"/>
          <w:szCs w:val="21"/>
        </w:rPr>
        <w:t xml:space="preserve"> </w:t>
      </w:r>
      <w:r w:rsidR="00310DCF" w:rsidRPr="008D1A16">
        <w:rPr>
          <w:rFonts w:ascii="Times New Roman" w:hAnsi="Times New Roman"/>
          <w:szCs w:val="21"/>
        </w:rPr>
        <w:t>Correlation between MB21D2 expression and Progression Free Interval</w:t>
      </w:r>
      <w:r w:rsidR="00310DCF">
        <w:rPr>
          <w:rFonts w:ascii="Times New Roman" w:hAnsi="Times New Roman"/>
          <w:szCs w:val="21"/>
        </w:rPr>
        <w:t xml:space="preserve"> </w:t>
      </w:r>
      <w:r w:rsidR="00310DCF" w:rsidRPr="008D1A16">
        <w:rPr>
          <w:rFonts w:ascii="Times New Roman" w:hAnsi="Times New Roman"/>
          <w:szCs w:val="21"/>
        </w:rPr>
        <w:t>(PFI) in TCGA Database. (</w:t>
      </w:r>
      <w:r w:rsidR="00310DCF">
        <w:rPr>
          <w:rFonts w:ascii="Times New Roman" w:hAnsi="Times New Roman"/>
          <w:b/>
          <w:bCs/>
          <w:szCs w:val="21"/>
        </w:rPr>
        <w:t>A</w:t>
      </w:r>
      <w:r w:rsidR="00310DCF" w:rsidRPr="008D1A16">
        <w:rPr>
          <w:rFonts w:ascii="Times New Roman" w:hAnsi="Times New Roman"/>
          <w:szCs w:val="21"/>
        </w:rPr>
        <w:t>) Analysis of the relationship between MB21D2 expression levels and PFI across various cancer types using univariate Cox regression based on TCGA Database. (</w:t>
      </w:r>
      <w:r w:rsidR="00310DCF">
        <w:rPr>
          <w:rFonts w:ascii="Times New Roman" w:hAnsi="Times New Roman"/>
          <w:b/>
          <w:bCs/>
          <w:szCs w:val="21"/>
        </w:rPr>
        <w:t>B</w:t>
      </w:r>
      <w:r w:rsidR="00310DCF" w:rsidRPr="008D1A16">
        <w:rPr>
          <w:rFonts w:ascii="Times New Roman" w:hAnsi="Times New Roman"/>
          <w:b/>
          <w:bCs/>
          <w:szCs w:val="21"/>
        </w:rPr>
        <w:t>-</w:t>
      </w:r>
      <w:r w:rsidR="00310DCF">
        <w:rPr>
          <w:rFonts w:ascii="Times New Roman" w:hAnsi="Times New Roman"/>
          <w:b/>
          <w:bCs/>
          <w:szCs w:val="21"/>
        </w:rPr>
        <w:t>E</w:t>
      </w:r>
      <w:r w:rsidR="00310DCF" w:rsidRPr="008D1A16">
        <w:rPr>
          <w:rFonts w:ascii="Times New Roman" w:hAnsi="Times New Roman"/>
          <w:szCs w:val="21"/>
        </w:rPr>
        <w:t>) Categorization of each cancer type in TCGA into high and low MB21D2 expression groups to examine their correlation with PFI.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 Significant differences in PFI were observed in four tumor types (</w:t>
      </w:r>
      <w:r w:rsidR="00310DCF" w:rsidRPr="008D1A16">
        <w:rPr>
          <w:rFonts w:ascii="Times New Roman" w:hAnsi="Times New Roman"/>
          <w:i/>
          <w:iCs/>
          <w:color w:val="000000" w:themeColor="text1"/>
          <w:szCs w:val="21"/>
        </w:rPr>
        <w:t>P</w:t>
      </w:r>
      <w:r w:rsidR="00310DCF" w:rsidRPr="008D1A16">
        <w:rPr>
          <w:rFonts w:ascii="Times New Roman" w:hAnsi="Times New Roman"/>
          <w:color w:val="000000" w:themeColor="text1"/>
          <w:szCs w:val="21"/>
        </w:rPr>
        <w:t xml:space="preserve"> &lt; 0.05).</w:t>
      </w:r>
    </w:p>
    <w:p w14:paraId="5CA38627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085E76B7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2AFCF737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45A4BD51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5BFF9913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77A06722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5FA17F82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51A57751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53DF3724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35533C51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553DB9E7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3C11C1E3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1047FBAF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348F105D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6F738491" w14:textId="77777777" w:rsidR="00310DCF" w:rsidRDefault="00310DCF" w:rsidP="00310DCF">
      <w:pPr>
        <w:rPr>
          <w:rFonts w:ascii="Times New Roman" w:hAnsi="Times New Roman"/>
          <w:szCs w:val="21"/>
        </w:rPr>
      </w:pPr>
    </w:p>
    <w:p w14:paraId="3DB1A523" w14:textId="77777777" w:rsidR="00310DCF" w:rsidRPr="00C7735E" w:rsidRDefault="00310DCF" w:rsidP="00F21FF6">
      <w:pPr>
        <w:jc w:val="center"/>
      </w:pPr>
      <w:r>
        <w:lastRenderedPageBreak/>
        <w:drawing>
          <wp:inline distT="0" distB="0" distL="0" distR="0" wp14:anchorId="429AAF44" wp14:editId="5123CF4C">
            <wp:extent cx="5274310" cy="2312652"/>
            <wp:effectExtent l="0" t="0" r="0" b="0"/>
            <wp:docPr id="112530998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309985" name="图片 8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2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9104C" w14:textId="45B9F8FE" w:rsidR="00310DCF" w:rsidRPr="006715C8" w:rsidRDefault="006154E9" w:rsidP="00310DCF">
      <w:pPr>
        <w:rPr>
          <w:rFonts w:ascii="Times New Roman" w:hAnsi="Times New Roman"/>
          <w:bCs/>
          <w:szCs w:val="21"/>
        </w:rPr>
      </w:pPr>
      <w:r w:rsidRPr="00FD7E6E">
        <w:rPr>
          <w:rFonts w:ascii="Times New Roman" w:hAnsi="Times New Roman"/>
          <w:b/>
          <w:bCs/>
        </w:rPr>
        <w:t xml:space="preserve">Fig. </w:t>
      </w:r>
      <w:r w:rsidR="00310DCF" w:rsidRPr="00C7735E">
        <w:rPr>
          <w:rFonts w:ascii="Times New Roman" w:hAnsi="Times New Roman"/>
          <w:b/>
          <w:bCs/>
          <w:szCs w:val="21"/>
        </w:rPr>
        <w:t>S</w:t>
      </w:r>
      <w:r>
        <w:rPr>
          <w:rFonts w:ascii="Times New Roman" w:hAnsi="Times New Roman"/>
          <w:b/>
          <w:bCs/>
          <w:szCs w:val="21"/>
        </w:rPr>
        <w:t>7</w:t>
      </w:r>
      <w:r w:rsidR="00310DCF" w:rsidRPr="00C7735E">
        <w:rPr>
          <w:rFonts w:ascii="Times New Roman" w:hAnsi="Times New Roman"/>
          <w:szCs w:val="21"/>
        </w:rPr>
        <w:t xml:space="preserve"> Relationship between MB21D2 Expression and </w:t>
      </w:r>
      <w:r w:rsidR="00310DCF" w:rsidRPr="00982645">
        <w:rPr>
          <w:rFonts w:ascii="Times New Roman" w:hAnsi="Times New Roman"/>
          <w:szCs w:val="21"/>
        </w:rPr>
        <w:t>Disease Specific Survival</w:t>
      </w:r>
      <w:r w:rsidR="00310DCF">
        <w:rPr>
          <w:rFonts w:ascii="Times New Roman" w:hAnsi="Times New Roman"/>
          <w:szCs w:val="21"/>
        </w:rPr>
        <w:t>(</w:t>
      </w:r>
      <w:r w:rsidR="00310DCF" w:rsidRPr="00C7735E">
        <w:rPr>
          <w:rFonts w:ascii="Times New Roman" w:hAnsi="Times New Roman"/>
          <w:szCs w:val="21"/>
        </w:rPr>
        <w:t>DSS</w:t>
      </w:r>
      <w:r w:rsidR="00310DCF">
        <w:rPr>
          <w:rFonts w:ascii="Times New Roman" w:hAnsi="Times New Roman"/>
          <w:szCs w:val="21"/>
        </w:rPr>
        <w:t>)</w:t>
      </w:r>
      <w:r w:rsidR="00310DCF" w:rsidRPr="00C7735E">
        <w:rPr>
          <w:rFonts w:ascii="Times New Roman" w:hAnsi="Times New Roman"/>
          <w:szCs w:val="21"/>
        </w:rPr>
        <w:t xml:space="preserve"> in TCGA Database</w:t>
      </w:r>
      <w:r w:rsidR="00310DCF">
        <w:rPr>
          <w:rFonts w:ascii="Times New Roman" w:hAnsi="Times New Roman"/>
          <w:szCs w:val="21"/>
        </w:rPr>
        <w:t>.</w:t>
      </w:r>
      <w:r w:rsidR="00310DCF" w:rsidRPr="00F4224E">
        <w:rPr>
          <w:rFonts w:ascii="Times New Roman" w:hAnsi="Times New Roman"/>
          <w:b/>
          <w:bCs/>
          <w:szCs w:val="21"/>
        </w:rPr>
        <w:t xml:space="preserve"> </w:t>
      </w:r>
      <w:r w:rsidR="00310DCF" w:rsidRPr="008D1A16">
        <w:rPr>
          <w:rFonts w:ascii="Times New Roman" w:hAnsi="Times New Roman"/>
          <w:szCs w:val="21"/>
        </w:rPr>
        <w:t>(</w:t>
      </w:r>
      <w:r w:rsidR="00310DCF">
        <w:rPr>
          <w:rFonts w:ascii="Times New Roman" w:hAnsi="Times New Roman"/>
          <w:b/>
          <w:bCs/>
          <w:szCs w:val="21"/>
        </w:rPr>
        <w:t>A</w:t>
      </w:r>
      <w:r w:rsidR="00310DCF" w:rsidRPr="008D1A16">
        <w:rPr>
          <w:rFonts w:ascii="Times New Roman" w:hAnsi="Times New Roman"/>
          <w:szCs w:val="21"/>
        </w:rPr>
        <w:t>)</w:t>
      </w:r>
      <w:r w:rsidR="00310DCF" w:rsidRPr="00C7735E">
        <w:rPr>
          <w:rFonts w:ascii="Times New Roman" w:hAnsi="Times New Roman"/>
          <w:szCs w:val="21"/>
        </w:rPr>
        <w:t xml:space="preserve"> Investigation of the association between MB21D2 expression and DSS in various cancer types through univariate Cox regression using TCGA Database</w:t>
      </w:r>
      <w:r w:rsidR="00310DCF">
        <w:rPr>
          <w:rFonts w:ascii="Times New Roman" w:hAnsi="Times New Roman"/>
          <w:szCs w:val="21"/>
        </w:rPr>
        <w:t>.</w:t>
      </w:r>
      <w:r w:rsidR="00310DCF" w:rsidRPr="00F4224E">
        <w:rPr>
          <w:rFonts w:ascii="Times New Roman" w:hAnsi="Times New Roman"/>
          <w:b/>
          <w:bCs/>
          <w:szCs w:val="21"/>
        </w:rPr>
        <w:t xml:space="preserve"> </w:t>
      </w:r>
      <w:r w:rsidR="00310DCF" w:rsidRPr="008D1A16">
        <w:rPr>
          <w:rFonts w:ascii="Times New Roman" w:hAnsi="Times New Roman"/>
          <w:szCs w:val="21"/>
        </w:rPr>
        <w:t>(</w:t>
      </w:r>
      <w:r w:rsidR="00310DCF">
        <w:rPr>
          <w:rFonts w:ascii="Times New Roman" w:hAnsi="Times New Roman"/>
          <w:b/>
          <w:bCs/>
          <w:szCs w:val="21"/>
        </w:rPr>
        <w:t>B</w:t>
      </w:r>
      <w:r w:rsidR="00310DCF" w:rsidRPr="008D1A16">
        <w:rPr>
          <w:rFonts w:ascii="Times New Roman" w:hAnsi="Times New Roman"/>
          <w:b/>
          <w:bCs/>
          <w:szCs w:val="21"/>
        </w:rPr>
        <w:t>-</w:t>
      </w:r>
      <w:r w:rsidR="00310DCF">
        <w:rPr>
          <w:rFonts w:ascii="Times New Roman" w:hAnsi="Times New Roman"/>
          <w:b/>
          <w:bCs/>
          <w:szCs w:val="21"/>
        </w:rPr>
        <w:t>E</w:t>
      </w:r>
      <w:r w:rsidR="00310DCF" w:rsidRPr="008D1A16">
        <w:rPr>
          <w:rFonts w:ascii="Times New Roman" w:hAnsi="Times New Roman"/>
          <w:szCs w:val="21"/>
        </w:rPr>
        <w:t>)</w:t>
      </w:r>
      <w:r w:rsidR="00310DCF" w:rsidRPr="00C7735E">
        <w:rPr>
          <w:rFonts w:ascii="Times New Roman" w:hAnsi="Times New Roman"/>
          <w:szCs w:val="21"/>
        </w:rPr>
        <w:t xml:space="preserve"> Division of each cancer type in TCGA into high and low MB21D2 expression groups for analysis of their relationship with DSS.</w:t>
      </w:r>
      <w:r w:rsidR="00310DCF" w:rsidRPr="00757249">
        <w:rPr>
          <w:rFonts w:ascii="Times New Roman" w:hAnsi="Times New Roman"/>
          <w:color w:val="000000" w:themeColor="text1"/>
          <w:szCs w:val="21"/>
        </w:rPr>
        <w:t xml:space="preserve"> 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Significant differences in </w:t>
      </w:r>
      <w:r w:rsidR="00310DCF">
        <w:rPr>
          <w:rFonts w:ascii="Times New Roman" w:hAnsi="Times New Roman"/>
          <w:color w:val="000000" w:themeColor="text1"/>
          <w:szCs w:val="21"/>
        </w:rPr>
        <w:t>DSS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 were observed in </w:t>
      </w:r>
      <w:r w:rsidR="00310DCF">
        <w:rPr>
          <w:rFonts w:ascii="Times New Roman" w:hAnsi="Times New Roman"/>
          <w:color w:val="000000" w:themeColor="text1"/>
          <w:szCs w:val="21"/>
        </w:rPr>
        <w:t>four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 tumor types (</w:t>
      </w:r>
      <w:r w:rsidR="00310DCF" w:rsidRPr="006715C8">
        <w:rPr>
          <w:rFonts w:ascii="Times New Roman" w:hAnsi="Times New Roman"/>
          <w:i/>
          <w:iCs/>
          <w:color w:val="000000" w:themeColor="text1"/>
          <w:szCs w:val="21"/>
        </w:rPr>
        <w:t>P</w:t>
      </w:r>
      <w:r w:rsidR="00310DCF" w:rsidRPr="006715C8">
        <w:rPr>
          <w:rFonts w:ascii="Times New Roman" w:hAnsi="Times New Roman"/>
          <w:color w:val="000000" w:themeColor="text1"/>
          <w:szCs w:val="21"/>
        </w:rPr>
        <w:t xml:space="preserve"> &lt; 0.05).</w:t>
      </w:r>
      <w:r w:rsidR="00310DCF">
        <w:rPr>
          <w:rFonts w:ascii="Times New Roman" w:hAnsi="Times New Roman"/>
          <w:color w:val="000000" w:themeColor="text1"/>
          <w:szCs w:val="21"/>
        </w:rPr>
        <w:t xml:space="preserve"> </w:t>
      </w:r>
    </w:p>
    <w:p w14:paraId="5393129E" w14:textId="77777777" w:rsidR="00310DCF" w:rsidRPr="00757249" w:rsidRDefault="00310DCF" w:rsidP="00310DCF">
      <w:pPr>
        <w:rPr>
          <w:rFonts w:ascii="Times New Roman" w:hAnsi="Times New Roman"/>
          <w:szCs w:val="21"/>
        </w:rPr>
      </w:pPr>
    </w:p>
    <w:p w14:paraId="4C3E1D86" w14:textId="77777777" w:rsidR="00310DCF" w:rsidRPr="00A90065" w:rsidRDefault="00310DCF" w:rsidP="00310DCF">
      <w:pPr>
        <w:rPr>
          <w:rFonts w:ascii="Times New Roman" w:hAnsi="Times New Roman"/>
          <w:b/>
          <w:bCs/>
          <w:szCs w:val="21"/>
        </w:rPr>
      </w:pPr>
    </w:p>
    <w:p w14:paraId="05FF8DA0" w14:textId="7DB43B67" w:rsidR="00310DCF" w:rsidRDefault="009E2730" w:rsidP="00310DCF">
      <w:r>
        <w:lastRenderedPageBreak/>
        <w:drawing>
          <wp:inline distT="0" distB="0" distL="0" distR="0" wp14:anchorId="0657DC27" wp14:editId="5FE5A47A">
            <wp:extent cx="6642100" cy="6955790"/>
            <wp:effectExtent l="0" t="0" r="0" b="3810"/>
            <wp:docPr id="10905393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539391" name="图片 109053939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695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8F4D7" w14:textId="371DAB8A" w:rsidR="00310DCF" w:rsidRPr="00611E4A" w:rsidRDefault="00310DCF" w:rsidP="00310DCF">
      <w:pPr>
        <w:jc w:val="left"/>
      </w:pPr>
    </w:p>
    <w:p w14:paraId="7F059B0B" w14:textId="13C59C39" w:rsidR="00310DCF" w:rsidRPr="008D1A16" w:rsidRDefault="006154E9" w:rsidP="00310DCF">
      <w:pPr>
        <w:rPr>
          <w:rFonts w:ascii="Times New Roman" w:hAnsi="Times New Roman"/>
          <w:szCs w:val="21"/>
        </w:rPr>
      </w:pPr>
      <w:r w:rsidRPr="00FD7E6E">
        <w:rPr>
          <w:rFonts w:ascii="Times New Roman" w:hAnsi="Times New Roman"/>
          <w:b/>
          <w:bCs/>
        </w:rPr>
        <w:t xml:space="preserve">Fig. </w:t>
      </w:r>
      <w:r w:rsidR="00310DCF" w:rsidRPr="00C7735E">
        <w:rPr>
          <w:rFonts w:ascii="Times New Roman" w:hAnsi="Times New Roman" w:hint="eastAsia"/>
          <w:b/>
          <w:bCs/>
          <w:szCs w:val="21"/>
        </w:rPr>
        <w:t>S</w:t>
      </w:r>
      <w:r>
        <w:rPr>
          <w:rFonts w:ascii="Times New Roman" w:hAnsi="Times New Roman"/>
          <w:b/>
          <w:bCs/>
          <w:szCs w:val="21"/>
        </w:rPr>
        <w:t>8</w:t>
      </w:r>
      <w:r w:rsidR="00310DCF" w:rsidRPr="00C7735E">
        <w:rPr>
          <w:rFonts w:ascii="Times New Roman" w:hAnsi="Times New Roman" w:hint="eastAsia"/>
          <w:szCs w:val="21"/>
        </w:rPr>
        <w:t xml:space="preserve"> </w:t>
      </w:r>
      <w:r w:rsidR="00310DCF" w:rsidRPr="008D1A16">
        <w:rPr>
          <w:rFonts w:ascii="Times New Roman" w:hAnsi="Times New Roman" w:hint="eastAsia"/>
          <w:szCs w:val="21"/>
        </w:rPr>
        <w:t xml:space="preserve">The plasmids were engineered to include a GFP fluorescent segment, enabling the assessment of lentiviral infection efficiency via fluorescence microscopy. </w:t>
      </w:r>
      <w:r w:rsidR="00310DCF" w:rsidRPr="008D1A16">
        <w:rPr>
          <w:rFonts w:ascii="Times New Roman" w:hAnsi="Times New Roman"/>
          <w:szCs w:val="21"/>
        </w:rPr>
        <w:t>(</w:t>
      </w:r>
      <w:r w:rsidR="00310DCF">
        <w:rPr>
          <w:rFonts w:ascii="Times New Roman" w:hAnsi="Times New Roman"/>
          <w:b/>
          <w:bCs/>
          <w:szCs w:val="21"/>
        </w:rPr>
        <w:t>A</w:t>
      </w:r>
      <w:r w:rsidR="00A566CE">
        <w:rPr>
          <w:rFonts w:ascii="Times New Roman" w:hAnsi="Times New Roman"/>
          <w:b/>
          <w:bCs/>
          <w:szCs w:val="21"/>
        </w:rPr>
        <w:t>-B</w:t>
      </w:r>
      <w:r w:rsidR="00310DCF" w:rsidRPr="008D1A16">
        <w:rPr>
          <w:rFonts w:ascii="Times New Roman" w:hAnsi="Times New Roman"/>
          <w:szCs w:val="21"/>
        </w:rPr>
        <w:t>)</w:t>
      </w:r>
      <w:r w:rsidR="00310DCF" w:rsidRPr="008D1A16">
        <w:rPr>
          <w:rFonts w:ascii="Times New Roman" w:hAnsi="Times New Roman" w:hint="eastAsia"/>
          <w:szCs w:val="21"/>
        </w:rPr>
        <w:t xml:space="preserve"> GFP fluorescence images post-lentiviral infection of KYSE30 and KYSE150 cells with knockdown viruses, including three sh-MB21D2 variants (sh-M#1, sh-M#2, and sh-M#3). The scrambled group (sh-Ctrl) served as a negative control. </w:t>
      </w:r>
      <w:r w:rsidR="00310DCF" w:rsidRPr="008D1A16">
        <w:rPr>
          <w:rFonts w:ascii="Times New Roman" w:hAnsi="Times New Roman"/>
          <w:szCs w:val="21"/>
        </w:rPr>
        <w:t>(</w:t>
      </w:r>
      <w:r w:rsidR="00A566CE">
        <w:rPr>
          <w:rFonts w:ascii="Times New Roman" w:hAnsi="Times New Roman"/>
          <w:b/>
          <w:bCs/>
          <w:szCs w:val="21"/>
        </w:rPr>
        <w:t>C-D</w:t>
      </w:r>
      <w:r w:rsidR="00310DCF" w:rsidRPr="008D1A16">
        <w:rPr>
          <w:rFonts w:ascii="Times New Roman" w:hAnsi="Times New Roman"/>
          <w:szCs w:val="21"/>
        </w:rPr>
        <w:t>)</w:t>
      </w:r>
      <w:r w:rsidR="00310DCF" w:rsidRPr="008D1A16">
        <w:rPr>
          <w:rFonts w:ascii="Times New Roman" w:hAnsi="Times New Roman" w:hint="eastAsia"/>
          <w:szCs w:val="21"/>
        </w:rPr>
        <w:t xml:space="preserve"> GFP fluorescence images following overexpression lentiviral infection in EC109 and</w:t>
      </w:r>
      <w:r w:rsidR="00310DCF" w:rsidRPr="008D1A16">
        <w:rPr>
          <w:rFonts w:ascii="Times New Roman" w:hAnsi="Times New Roman"/>
          <w:szCs w:val="21"/>
        </w:rPr>
        <w:t xml:space="preserve"> </w:t>
      </w:r>
      <w:r w:rsidR="00310DCF" w:rsidRPr="008D1A16">
        <w:rPr>
          <w:rFonts w:ascii="Times New Roman" w:hAnsi="Times New Roman" w:hint="eastAsia"/>
          <w:szCs w:val="21"/>
        </w:rPr>
        <w:t>KYSE450 cells. Empty vectors were used as the control group.</w:t>
      </w:r>
    </w:p>
    <w:p w14:paraId="1519E504" w14:textId="77777777" w:rsidR="00310DCF" w:rsidRPr="008D1A16" w:rsidRDefault="00310DCF" w:rsidP="00310DCF">
      <w:pPr>
        <w:jc w:val="left"/>
        <w:rPr>
          <w:rFonts w:ascii="Times New Roman" w:hAnsi="Times New Roman"/>
          <w:szCs w:val="21"/>
        </w:rPr>
      </w:pPr>
    </w:p>
    <w:p w14:paraId="027AACAC" w14:textId="77777777" w:rsidR="00310DCF" w:rsidRDefault="00310DCF" w:rsidP="00310DCF">
      <w:pPr>
        <w:jc w:val="left"/>
        <w:rPr>
          <w:rFonts w:ascii="Times New Roman" w:hAnsi="Times New Roman"/>
          <w:szCs w:val="21"/>
        </w:rPr>
      </w:pPr>
    </w:p>
    <w:p w14:paraId="373EF5A9" w14:textId="77777777" w:rsidR="00310DCF" w:rsidRDefault="00310DCF" w:rsidP="00310DCF">
      <w:pPr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lastRenderedPageBreak/>
        <w:drawing>
          <wp:inline distT="0" distB="0" distL="0" distR="0" wp14:anchorId="032F1666" wp14:editId="407AFB6E">
            <wp:extent cx="5274310" cy="5017135"/>
            <wp:effectExtent l="0" t="0" r="0" b="0"/>
            <wp:docPr id="169761129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611296" name="图片 169761129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1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33090" w14:textId="19F05922" w:rsidR="00310DCF" w:rsidRPr="008D1A16" w:rsidRDefault="006154E9" w:rsidP="00310DCF">
      <w:pPr>
        <w:rPr>
          <w:rFonts w:ascii="Times New Roman" w:hAnsi="Times New Roman"/>
          <w:szCs w:val="21"/>
        </w:rPr>
      </w:pPr>
      <w:r w:rsidRPr="00FD7E6E">
        <w:rPr>
          <w:rFonts w:ascii="Times New Roman" w:hAnsi="Times New Roman"/>
          <w:b/>
          <w:bCs/>
        </w:rPr>
        <w:t xml:space="preserve">Fig. </w:t>
      </w:r>
      <w:r w:rsidR="00310DCF" w:rsidRPr="00C7735E">
        <w:rPr>
          <w:rFonts w:ascii="Times New Roman" w:hAnsi="Times New Roman" w:hint="eastAsia"/>
          <w:b/>
          <w:bCs/>
          <w:szCs w:val="21"/>
        </w:rPr>
        <w:t>S</w:t>
      </w:r>
      <w:r>
        <w:rPr>
          <w:rFonts w:ascii="Times New Roman" w:hAnsi="Times New Roman"/>
          <w:b/>
          <w:bCs/>
          <w:szCs w:val="21"/>
        </w:rPr>
        <w:t>9</w:t>
      </w:r>
      <w:r w:rsidR="00310DCF" w:rsidRPr="00C7735E">
        <w:rPr>
          <w:rFonts w:ascii="Times New Roman" w:hAnsi="Times New Roman" w:hint="eastAsia"/>
          <w:b/>
          <w:bCs/>
          <w:szCs w:val="21"/>
        </w:rPr>
        <w:t xml:space="preserve"> </w:t>
      </w:r>
      <w:r w:rsidR="00310DCF" w:rsidRPr="008D1A16">
        <w:rPr>
          <w:rFonts w:ascii="Times New Roman" w:hAnsi="Times New Roman" w:hint="eastAsia"/>
          <w:szCs w:val="21"/>
        </w:rPr>
        <w:t xml:space="preserve">Enrichment Analysis of Biological Pathways. </w:t>
      </w:r>
      <w:r w:rsidR="00310DCF" w:rsidRPr="008D1A16">
        <w:rPr>
          <w:rFonts w:ascii="Times New Roman" w:hAnsi="Times New Roman"/>
          <w:szCs w:val="21"/>
        </w:rPr>
        <w:t>(</w:t>
      </w:r>
      <w:r w:rsidR="00310DCF">
        <w:rPr>
          <w:rFonts w:ascii="Times New Roman" w:hAnsi="Times New Roman"/>
          <w:b/>
          <w:bCs/>
          <w:szCs w:val="21"/>
        </w:rPr>
        <w:t>A</w:t>
      </w:r>
      <w:r w:rsidR="00310DCF" w:rsidRPr="008D1A16">
        <w:rPr>
          <w:rFonts w:ascii="Times New Roman" w:hAnsi="Times New Roman"/>
          <w:szCs w:val="21"/>
        </w:rPr>
        <w:t>)</w:t>
      </w:r>
      <w:r w:rsidR="00310DCF" w:rsidRPr="008D1A16">
        <w:rPr>
          <w:rFonts w:ascii="Times New Roman" w:hAnsi="Times New Roman" w:hint="eastAsia"/>
          <w:szCs w:val="21"/>
        </w:rPr>
        <w:t xml:space="preserve"> GO-BP (Gene Ontology - Biological Process) enrichment analysis of upregulated DEGs. </w:t>
      </w:r>
      <w:r w:rsidR="00310DCF" w:rsidRPr="008D1A16">
        <w:rPr>
          <w:rFonts w:ascii="Times New Roman" w:hAnsi="Times New Roman"/>
          <w:szCs w:val="21"/>
        </w:rPr>
        <w:t>(</w:t>
      </w:r>
      <w:r w:rsidR="00310DCF">
        <w:rPr>
          <w:rFonts w:ascii="Times New Roman" w:hAnsi="Times New Roman"/>
          <w:b/>
          <w:bCs/>
          <w:szCs w:val="21"/>
        </w:rPr>
        <w:t>B</w:t>
      </w:r>
      <w:r w:rsidR="00310DCF" w:rsidRPr="008D1A16">
        <w:rPr>
          <w:rFonts w:ascii="Times New Roman" w:hAnsi="Times New Roman"/>
          <w:szCs w:val="21"/>
        </w:rPr>
        <w:t>)</w:t>
      </w:r>
      <w:r w:rsidR="00310DCF" w:rsidRPr="008D1A16">
        <w:rPr>
          <w:rFonts w:ascii="Times New Roman" w:hAnsi="Times New Roman" w:hint="eastAsia"/>
          <w:szCs w:val="21"/>
        </w:rPr>
        <w:t xml:space="preserve"> GO-BP enrichment analysis of downregulated DEGs. </w:t>
      </w:r>
      <w:r w:rsidR="00310DCF" w:rsidRPr="008D1A16">
        <w:rPr>
          <w:rFonts w:ascii="Times New Roman" w:hAnsi="Times New Roman"/>
          <w:szCs w:val="21"/>
        </w:rPr>
        <w:t>(</w:t>
      </w:r>
      <w:r w:rsidRPr="006154E9">
        <w:rPr>
          <w:rFonts w:ascii="Times New Roman" w:hAnsi="Times New Roman" w:hint="eastAsia"/>
          <w:b/>
          <w:bCs/>
          <w:szCs w:val="21"/>
        </w:rPr>
        <w:t>C</w:t>
      </w:r>
      <w:r w:rsidR="00310DCF" w:rsidRPr="008D1A16">
        <w:rPr>
          <w:rFonts w:ascii="Times New Roman" w:hAnsi="Times New Roman"/>
          <w:szCs w:val="21"/>
        </w:rPr>
        <w:t>)</w:t>
      </w:r>
      <w:r w:rsidR="00310DCF" w:rsidRPr="008D1A16">
        <w:rPr>
          <w:rFonts w:ascii="Times New Roman" w:hAnsi="Times New Roman" w:hint="eastAsia"/>
          <w:szCs w:val="21"/>
        </w:rPr>
        <w:t xml:space="preserve"> KEGG (Kyoto Encyclopedia of Genes and Genomes) pathway enrichment analysis of DEGs.</w:t>
      </w:r>
    </w:p>
    <w:p w14:paraId="494AB876" w14:textId="77777777" w:rsidR="00310DCF" w:rsidRPr="002E115E" w:rsidRDefault="00310DCF" w:rsidP="00310DCF">
      <w:pPr>
        <w:rPr>
          <w:rFonts w:ascii="Times New Roman" w:hAnsi="Times New Roman"/>
          <w:sz w:val="18"/>
          <w:szCs w:val="18"/>
        </w:rPr>
      </w:pPr>
    </w:p>
    <w:p w14:paraId="7A720631" w14:textId="77777777" w:rsidR="006B4AE1" w:rsidRPr="00310DCF" w:rsidRDefault="006B4AE1" w:rsidP="00376B10">
      <w:pPr>
        <w:spacing w:line="240" w:lineRule="auto"/>
        <w:jc w:val="left"/>
      </w:pPr>
    </w:p>
    <w:sectPr w:rsidR="006B4AE1" w:rsidRPr="00310DCF" w:rsidSect="00DD0157">
      <w:headerReference w:type="even" r:id="rId17"/>
      <w:headerReference w:type="default" r:id="rId18"/>
      <w:headerReference w:type="first" r:id="rId19"/>
      <w:footerReference w:type="first" r:id="rId20"/>
      <w:type w:val="continuous"/>
      <w:pgSz w:w="11900" w:h="16840"/>
      <w:pgMar w:top="1417" w:right="720" w:bottom="1077" w:left="720" w:header="1020" w:footer="340" w:gutter="0"/>
      <w:lnNumType w:countBy="1" w:distance="255" w:restart="continuous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B38DD6" w14:textId="77777777" w:rsidR="001B5FBE" w:rsidRDefault="001B5FBE">
      <w:pPr>
        <w:spacing w:line="240" w:lineRule="auto"/>
      </w:pPr>
      <w:r>
        <w:separator/>
      </w:r>
    </w:p>
  </w:endnote>
  <w:endnote w:type="continuationSeparator" w:id="0">
    <w:p w14:paraId="45029802" w14:textId="77777777" w:rsidR="001B5FBE" w:rsidRDefault="001B5FB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.AppleSystemUIFont">
    <w:altName w:val="Cambria"/>
    <w:panose1 w:val="020B0604020202020204"/>
    <w:charset w:val="00"/>
    <w:family w:val="roman"/>
    <w:pitch w:val="default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909D49" w14:textId="77777777" w:rsidR="009E7E7D" w:rsidRDefault="009E7E7D" w:rsidP="00F026DA">
    <w:pPr>
      <w:pBdr>
        <w:top w:val="single" w:sz="4" w:space="0" w:color="000000"/>
      </w:pBdr>
      <w:tabs>
        <w:tab w:val="right" w:pos="8844"/>
      </w:tabs>
      <w:adjustRightInd w:val="0"/>
      <w:snapToGrid w:val="0"/>
      <w:spacing w:before="480" w:line="100" w:lineRule="exact"/>
      <w:jc w:val="left"/>
      <w:rPr>
        <w:i/>
        <w:sz w:val="16"/>
        <w:szCs w:val="16"/>
      </w:rPr>
    </w:pPr>
  </w:p>
  <w:p w14:paraId="6EEEC7AB" w14:textId="77777777" w:rsidR="00132454" w:rsidRPr="004973D3" w:rsidRDefault="00132454" w:rsidP="007760FF">
    <w:pPr>
      <w:tabs>
        <w:tab w:val="right" w:pos="10466"/>
      </w:tabs>
      <w:adjustRightInd w:val="0"/>
      <w:snapToGrid w:val="0"/>
      <w:spacing w:line="240" w:lineRule="auto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083DC2" w14:textId="77777777" w:rsidR="001B5FBE" w:rsidRDefault="001B5FBE">
      <w:pPr>
        <w:spacing w:line="240" w:lineRule="auto"/>
      </w:pPr>
      <w:r>
        <w:separator/>
      </w:r>
    </w:p>
  </w:footnote>
  <w:footnote w:type="continuationSeparator" w:id="0">
    <w:p w14:paraId="128017B6" w14:textId="77777777" w:rsidR="001B5FBE" w:rsidRDefault="001B5FB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5F90BD" w14:textId="77777777" w:rsidR="00132454" w:rsidRDefault="00132454" w:rsidP="00132454">
    <w:pPr>
      <w:pStyle w:val="a4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ADC77" w14:textId="4EEFD392" w:rsidR="009E7E7D" w:rsidRDefault="007760FF" w:rsidP="007760FF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sz w:val="16"/>
      </w:rPr>
      <w:tab/>
    </w:r>
    <w:r w:rsidR="00686832">
      <w:rPr>
        <w:sz w:val="16"/>
      </w:rPr>
      <w:fldChar w:fldCharType="begin"/>
    </w:r>
    <w:r w:rsidR="00686832">
      <w:rPr>
        <w:sz w:val="16"/>
      </w:rPr>
      <w:instrText xml:space="preserve"> PAGE   \* MERGEFORMAT </w:instrText>
    </w:r>
    <w:r w:rsidR="00686832">
      <w:rPr>
        <w:sz w:val="16"/>
      </w:rPr>
      <w:fldChar w:fldCharType="separate"/>
    </w:r>
    <w:r w:rsidR="00C63794">
      <w:rPr>
        <w:sz w:val="16"/>
      </w:rPr>
      <w:t>5</w:t>
    </w:r>
    <w:r w:rsidR="00686832">
      <w:rPr>
        <w:sz w:val="16"/>
      </w:rPr>
      <w:fldChar w:fldCharType="end"/>
    </w:r>
    <w:r w:rsidR="00686832">
      <w:rPr>
        <w:sz w:val="16"/>
      </w:rPr>
      <w:t xml:space="preserve"> of </w:t>
    </w:r>
    <w:r w:rsidR="00686832">
      <w:rPr>
        <w:sz w:val="16"/>
      </w:rPr>
      <w:fldChar w:fldCharType="begin"/>
    </w:r>
    <w:r w:rsidR="00686832">
      <w:rPr>
        <w:sz w:val="16"/>
      </w:rPr>
      <w:instrText xml:space="preserve"> NUMPAGES   \* MERGEFORMAT </w:instrText>
    </w:r>
    <w:r w:rsidR="00686832">
      <w:rPr>
        <w:sz w:val="16"/>
      </w:rPr>
      <w:fldChar w:fldCharType="separate"/>
    </w:r>
    <w:r w:rsidR="00C63794">
      <w:rPr>
        <w:sz w:val="16"/>
      </w:rPr>
      <w:t>5</w:t>
    </w:r>
    <w:r w:rsidR="00686832">
      <w:rPr>
        <w:sz w:val="16"/>
      </w:rPr>
      <w:fldChar w:fldCharType="end"/>
    </w:r>
  </w:p>
  <w:p w14:paraId="2838AF27" w14:textId="77777777" w:rsidR="00132454" w:rsidRPr="0096684E" w:rsidRDefault="00132454" w:rsidP="00F026DA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E772B5" w14:textId="77777777" w:rsidR="00132454" w:rsidRPr="009E7E7D" w:rsidRDefault="00132454" w:rsidP="00F026DA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B468F5"/>
    <w:multiLevelType w:val="hybridMultilevel"/>
    <w:tmpl w:val="39D29364"/>
    <w:lvl w:ilvl="0" w:tplc="6A162992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2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F06AE6"/>
    <w:multiLevelType w:val="hybridMultilevel"/>
    <w:tmpl w:val="4CFCDD02"/>
    <w:lvl w:ilvl="0" w:tplc="34FAD97E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9" w15:restartNumberingAfterBreak="0">
    <w:nsid w:val="63307C77"/>
    <w:multiLevelType w:val="hybridMultilevel"/>
    <w:tmpl w:val="4AFAADFA"/>
    <w:lvl w:ilvl="0" w:tplc="C87018A8">
      <w:start w:val="1"/>
      <w:numFmt w:val="decimal"/>
      <w:lvlRestart w:val="0"/>
      <w:pStyle w:val="MDPI71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06D5736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3BE121E"/>
    <w:multiLevelType w:val="hybridMultilevel"/>
    <w:tmpl w:val="05166F06"/>
    <w:lvl w:ilvl="0" w:tplc="06C047A6">
      <w:start w:val="1"/>
      <w:numFmt w:val="decimal"/>
      <w:lvlRestart w:val="0"/>
      <w:pStyle w:val="MDPI37itemize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594946520">
    <w:abstractNumId w:val="3"/>
  </w:num>
  <w:num w:numId="2" w16cid:durableId="135921844">
    <w:abstractNumId w:val="6"/>
  </w:num>
  <w:num w:numId="3" w16cid:durableId="2102948776">
    <w:abstractNumId w:val="2"/>
  </w:num>
  <w:num w:numId="4" w16cid:durableId="1803229972">
    <w:abstractNumId w:val="4"/>
  </w:num>
  <w:num w:numId="5" w16cid:durableId="424692999">
    <w:abstractNumId w:val="8"/>
  </w:num>
  <w:num w:numId="6" w16cid:durableId="1757559527">
    <w:abstractNumId w:val="1"/>
  </w:num>
  <w:num w:numId="7" w16cid:durableId="1569068729">
    <w:abstractNumId w:val="8"/>
  </w:num>
  <w:num w:numId="8" w16cid:durableId="322587875">
    <w:abstractNumId w:val="1"/>
  </w:num>
  <w:num w:numId="9" w16cid:durableId="1820463343">
    <w:abstractNumId w:val="8"/>
  </w:num>
  <w:num w:numId="10" w16cid:durableId="1837185801">
    <w:abstractNumId w:val="1"/>
  </w:num>
  <w:num w:numId="11" w16cid:durableId="8600410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805269824">
    <w:abstractNumId w:val="10"/>
  </w:num>
  <w:num w:numId="13" w16cid:durableId="1059356449">
    <w:abstractNumId w:val="8"/>
  </w:num>
  <w:num w:numId="14" w16cid:durableId="249891039">
    <w:abstractNumId w:val="1"/>
  </w:num>
  <w:num w:numId="15" w16cid:durableId="126052074">
    <w:abstractNumId w:val="0"/>
  </w:num>
  <w:num w:numId="16" w16cid:durableId="1889800018">
    <w:abstractNumId w:val="7"/>
  </w:num>
  <w:num w:numId="17" w16cid:durableId="665475520">
    <w:abstractNumId w:val="0"/>
  </w:num>
  <w:num w:numId="18" w16cid:durableId="1300921623">
    <w:abstractNumId w:val="8"/>
  </w:num>
  <w:num w:numId="19" w16cid:durableId="83259227">
    <w:abstractNumId w:val="1"/>
  </w:num>
  <w:num w:numId="20" w16cid:durableId="302850526">
    <w:abstractNumId w:val="0"/>
  </w:num>
  <w:num w:numId="21" w16cid:durableId="1826122783">
    <w:abstractNumId w:val="5"/>
  </w:num>
  <w:num w:numId="22" w16cid:durableId="88086543">
    <w:abstractNumId w:val="11"/>
  </w:num>
  <w:num w:numId="23" w16cid:durableId="173330506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9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ivyspring&lt;/Style&gt;&lt;LeftDelim&gt;{&lt;/LeftDelim&gt;&lt;RightDelim&gt;}&lt;/RightDelim&gt;&lt;FontName&gt;Palatino Linotype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</w:docVars>
  <w:rsids>
    <w:rsidRoot w:val="00627034"/>
    <w:rsid w:val="000035FA"/>
    <w:rsid w:val="00007272"/>
    <w:rsid w:val="00010D2D"/>
    <w:rsid w:val="000228BE"/>
    <w:rsid w:val="00032818"/>
    <w:rsid w:val="000343DC"/>
    <w:rsid w:val="00042D42"/>
    <w:rsid w:val="00064A46"/>
    <w:rsid w:val="00076244"/>
    <w:rsid w:val="00086CA9"/>
    <w:rsid w:val="00092A0C"/>
    <w:rsid w:val="00094D4A"/>
    <w:rsid w:val="00097A6D"/>
    <w:rsid w:val="000A0C12"/>
    <w:rsid w:val="000B1B7A"/>
    <w:rsid w:val="000B259A"/>
    <w:rsid w:val="000B3C27"/>
    <w:rsid w:val="000B44D1"/>
    <w:rsid w:val="000B5C40"/>
    <w:rsid w:val="000D3498"/>
    <w:rsid w:val="000D371F"/>
    <w:rsid w:val="000D53CD"/>
    <w:rsid w:val="000D583A"/>
    <w:rsid w:val="000D7D1C"/>
    <w:rsid w:val="000E3943"/>
    <w:rsid w:val="000E3DC2"/>
    <w:rsid w:val="000F058C"/>
    <w:rsid w:val="000F3585"/>
    <w:rsid w:val="000F61D2"/>
    <w:rsid w:val="00107ECB"/>
    <w:rsid w:val="0011017C"/>
    <w:rsid w:val="00125624"/>
    <w:rsid w:val="00130D29"/>
    <w:rsid w:val="00131A4D"/>
    <w:rsid w:val="00132454"/>
    <w:rsid w:val="00133A9A"/>
    <w:rsid w:val="00140DBA"/>
    <w:rsid w:val="00147554"/>
    <w:rsid w:val="00151650"/>
    <w:rsid w:val="001560D0"/>
    <w:rsid w:val="001805EF"/>
    <w:rsid w:val="0018351D"/>
    <w:rsid w:val="001842D3"/>
    <w:rsid w:val="0019109B"/>
    <w:rsid w:val="00191B8D"/>
    <w:rsid w:val="001A2711"/>
    <w:rsid w:val="001A7B14"/>
    <w:rsid w:val="001B5FBE"/>
    <w:rsid w:val="001C5D84"/>
    <w:rsid w:val="001D4E76"/>
    <w:rsid w:val="001E2AEB"/>
    <w:rsid w:val="001E60B9"/>
    <w:rsid w:val="001F1D92"/>
    <w:rsid w:val="001F1F88"/>
    <w:rsid w:val="001F2E68"/>
    <w:rsid w:val="001F70D5"/>
    <w:rsid w:val="00206339"/>
    <w:rsid w:val="00210789"/>
    <w:rsid w:val="0021592A"/>
    <w:rsid w:val="00216AD4"/>
    <w:rsid w:val="002247F2"/>
    <w:rsid w:val="00241F64"/>
    <w:rsid w:val="00243B00"/>
    <w:rsid w:val="002440B4"/>
    <w:rsid w:val="002466C7"/>
    <w:rsid w:val="00256B95"/>
    <w:rsid w:val="0026551C"/>
    <w:rsid w:val="00274416"/>
    <w:rsid w:val="002747F1"/>
    <w:rsid w:val="00280732"/>
    <w:rsid w:val="00281D40"/>
    <w:rsid w:val="00284F38"/>
    <w:rsid w:val="00285F81"/>
    <w:rsid w:val="00292146"/>
    <w:rsid w:val="002A74A4"/>
    <w:rsid w:val="002A7C7D"/>
    <w:rsid w:val="002B3114"/>
    <w:rsid w:val="002B364B"/>
    <w:rsid w:val="002B5C55"/>
    <w:rsid w:val="002B664F"/>
    <w:rsid w:val="002C36B7"/>
    <w:rsid w:val="002C4F0C"/>
    <w:rsid w:val="002C64DE"/>
    <w:rsid w:val="002C699F"/>
    <w:rsid w:val="002E5603"/>
    <w:rsid w:val="002F04C4"/>
    <w:rsid w:val="002F0645"/>
    <w:rsid w:val="00301D0D"/>
    <w:rsid w:val="00310DCF"/>
    <w:rsid w:val="00312A7A"/>
    <w:rsid w:val="003141D5"/>
    <w:rsid w:val="00315AF3"/>
    <w:rsid w:val="00320F69"/>
    <w:rsid w:val="00326141"/>
    <w:rsid w:val="00331E5E"/>
    <w:rsid w:val="00342D03"/>
    <w:rsid w:val="00372690"/>
    <w:rsid w:val="00376B10"/>
    <w:rsid w:val="00380E6C"/>
    <w:rsid w:val="003905ED"/>
    <w:rsid w:val="00391CAF"/>
    <w:rsid w:val="00392C61"/>
    <w:rsid w:val="00394597"/>
    <w:rsid w:val="003A0005"/>
    <w:rsid w:val="003A0006"/>
    <w:rsid w:val="003A310D"/>
    <w:rsid w:val="003C5613"/>
    <w:rsid w:val="003C66CC"/>
    <w:rsid w:val="003C72C4"/>
    <w:rsid w:val="003C75CF"/>
    <w:rsid w:val="003C7987"/>
    <w:rsid w:val="003D26DE"/>
    <w:rsid w:val="003D687A"/>
    <w:rsid w:val="003D6F12"/>
    <w:rsid w:val="003F0859"/>
    <w:rsid w:val="003F590A"/>
    <w:rsid w:val="00400E48"/>
    <w:rsid w:val="00401D30"/>
    <w:rsid w:val="00403BB0"/>
    <w:rsid w:val="00403CF6"/>
    <w:rsid w:val="00413AE8"/>
    <w:rsid w:val="00420E65"/>
    <w:rsid w:val="00423830"/>
    <w:rsid w:val="00425302"/>
    <w:rsid w:val="00430A3C"/>
    <w:rsid w:val="004320C8"/>
    <w:rsid w:val="00437491"/>
    <w:rsid w:val="00446A23"/>
    <w:rsid w:val="00454B7E"/>
    <w:rsid w:val="004701B5"/>
    <w:rsid w:val="0047607A"/>
    <w:rsid w:val="00477D8E"/>
    <w:rsid w:val="00490D2B"/>
    <w:rsid w:val="00491854"/>
    <w:rsid w:val="004973D3"/>
    <w:rsid w:val="004D0873"/>
    <w:rsid w:val="004E4D29"/>
    <w:rsid w:val="004F1E6B"/>
    <w:rsid w:val="004F4F54"/>
    <w:rsid w:val="00500600"/>
    <w:rsid w:val="005008A5"/>
    <w:rsid w:val="00502206"/>
    <w:rsid w:val="00512C20"/>
    <w:rsid w:val="00513DA4"/>
    <w:rsid w:val="00513E95"/>
    <w:rsid w:val="005217DB"/>
    <w:rsid w:val="005220F1"/>
    <w:rsid w:val="00522447"/>
    <w:rsid w:val="00524B3D"/>
    <w:rsid w:val="005266D6"/>
    <w:rsid w:val="0054605D"/>
    <w:rsid w:val="00546747"/>
    <w:rsid w:val="00554A25"/>
    <w:rsid w:val="00560FFF"/>
    <w:rsid w:val="00563A48"/>
    <w:rsid w:val="00566590"/>
    <w:rsid w:val="00566E3F"/>
    <w:rsid w:val="00567456"/>
    <w:rsid w:val="005704F7"/>
    <w:rsid w:val="005763E8"/>
    <w:rsid w:val="0058131C"/>
    <w:rsid w:val="00591A33"/>
    <w:rsid w:val="005965C3"/>
    <w:rsid w:val="005A00F3"/>
    <w:rsid w:val="005A5BC3"/>
    <w:rsid w:val="005A60BB"/>
    <w:rsid w:val="005B5455"/>
    <w:rsid w:val="005B588E"/>
    <w:rsid w:val="005C08BE"/>
    <w:rsid w:val="005C65BC"/>
    <w:rsid w:val="005D16B9"/>
    <w:rsid w:val="005D545D"/>
    <w:rsid w:val="005E4246"/>
    <w:rsid w:val="005F10D0"/>
    <w:rsid w:val="005F308B"/>
    <w:rsid w:val="00603576"/>
    <w:rsid w:val="0060659C"/>
    <w:rsid w:val="00607A76"/>
    <w:rsid w:val="006119FB"/>
    <w:rsid w:val="006127D4"/>
    <w:rsid w:val="006154E9"/>
    <w:rsid w:val="00627034"/>
    <w:rsid w:val="00627900"/>
    <w:rsid w:val="0063104C"/>
    <w:rsid w:val="0064100B"/>
    <w:rsid w:val="006428E3"/>
    <w:rsid w:val="0064554C"/>
    <w:rsid w:val="00650E2A"/>
    <w:rsid w:val="00661499"/>
    <w:rsid w:val="00663EF1"/>
    <w:rsid w:val="006752FF"/>
    <w:rsid w:val="00675DBA"/>
    <w:rsid w:val="00675EDF"/>
    <w:rsid w:val="006772A5"/>
    <w:rsid w:val="00686832"/>
    <w:rsid w:val="00692393"/>
    <w:rsid w:val="00697002"/>
    <w:rsid w:val="006A4A53"/>
    <w:rsid w:val="006B1901"/>
    <w:rsid w:val="006B3D54"/>
    <w:rsid w:val="006B4AE1"/>
    <w:rsid w:val="006B7F9A"/>
    <w:rsid w:val="006D4276"/>
    <w:rsid w:val="006E13BA"/>
    <w:rsid w:val="006E3095"/>
    <w:rsid w:val="006E6FEE"/>
    <w:rsid w:val="006F387D"/>
    <w:rsid w:val="0070283A"/>
    <w:rsid w:val="007101DC"/>
    <w:rsid w:val="00711A79"/>
    <w:rsid w:val="007220FB"/>
    <w:rsid w:val="00723679"/>
    <w:rsid w:val="00744C17"/>
    <w:rsid w:val="007510CE"/>
    <w:rsid w:val="00751A88"/>
    <w:rsid w:val="00773703"/>
    <w:rsid w:val="00773ECC"/>
    <w:rsid w:val="007760FF"/>
    <w:rsid w:val="007803DE"/>
    <w:rsid w:val="0078235F"/>
    <w:rsid w:val="00785B64"/>
    <w:rsid w:val="007A70B8"/>
    <w:rsid w:val="007A7B6E"/>
    <w:rsid w:val="007B1AFD"/>
    <w:rsid w:val="007B5A14"/>
    <w:rsid w:val="007C2C91"/>
    <w:rsid w:val="007D694F"/>
    <w:rsid w:val="007E4776"/>
    <w:rsid w:val="007E793C"/>
    <w:rsid w:val="007F10A8"/>
    <w:rsid w:val="007F3E50"/>
    <w:rsid w:val="008013D7"/>
    <w:rsid w:val="008054DC"/>
    <w:rsid w:val="0081323D"/>
    <w:rsid w:val="00820A87"/>
    <w:rsid w:val="00825A10"/>
    <w:rsid w:val="00841565"/>
    <w:rsid w:val="00842CFD"/>
    <w:rsid w:val="0084734D"/>
    <w:rsid w:val="00857CC3"/>
    <w:rsid w:val="00874491"/>
    <w:rsid w:val="00883ABA"/>
    <w:rsid w:val="00883FD9"/>
    <w:rsid w:val="00885808"/>
    <w:rsid w:val="00886BB1"/>
    <w:rsid w:val="00890C85"/>
    <w:rsid w:val="008977E5"/>
    <w:rsid w:val="00897CCC"/>
    <w:rsid w:val="008B01A5"/>
    <w:rsid w:val="008B20C2"/>
    <w:rsid w:val="008C2F56"/>
    <w:rsid w:val="008D0637"/>
    <w:rsid w:val="008F07C0"/>
    <w:rsid w:val="008F280B"/>
    <w:rsid w:val="00900070"/>
    <w:rsid w:val="00921748"/>
    <w:rsid w:val="00932970"/>
    <w:rsid w:val="00932CE9"/>
    <w:rsid w:val="00933CD5"/>
    <w:rsid w:val="00936C16"/>
    <w:rsid w:val="009423DD"/>
    <w:rsid w:val="00943618"/>
    <w:rsid w:val="0094553E"/>
    <w:rsid w:val="0095195D"/>
    <w:rsid w:val="00953189"/>
    <w:rsid w:val="00954328"/>
    <w:rsid w:val="009574C0"/>
    <w:rsid w:val="009609DB"/>
    <w:rsid w:val="00964448"/>
    <w:rsid w:val="009708EF"/>
    <w:rsid w:val="009972AA"/>
    <w:rsid w:val="009A1968"/>
    <w:rsid w:val="009B083C"/>
    <w:rsid w:val="009C0E73"/>
    <w:rsid w:val="009C2FBF"/>
    <w:rsid w:val="009C4F6C"/>
    <w:rsid w:val="009C5063"/>
    <w:rsid w:val="009D00F9"/>
    <w:rsid w:val="009D473E"/>
    <w:rsid w:val="009E04C0"/>
    <w:rsid w:val="009E050F"/>
    <w:rsid w:val="009E2730"/>
    <w:rsid w:val="009E6D54"/>
    <w:rsid w:val="009E7E7D"/>
    <w:rsid w:val="009F26BA"/>
    <w:rsid w:val="009F53C0"/>
    <w:rsid w:val="009F5A09"/>
    <w:rsid w:val="009F70E6"/>
    <w:rsid w:val="00A00528"/>
    <w:rsid w:val="00A023F5"/>
    <w:rsid w:val="00A04160"/>
    <w:rsid w:val="00A05F8D"/>
    <w:rsid w:val="00A107B6"/>
    <w:rsid w:val="00A13AE7"/>
    <w:rsid w:val="00A15EB4"/>
    <w:rsid w:val="00A25679"/>
    <w:rsid w:val="00A544B3"/>
    <w:rsid w:val="00A552A8"/>
    <w:rsid w:val="00A566CE"/>
    <w:rsid w:val="00A577E0"/>
    <w:rsid w:val="00A57A41"/>
    <w:rsid w:val="00A57BC8"/>
    <w:rsid w:val="00A64B54"/>
    <w:rsid w:val="00A66E64"/>
    <w:rsid w:val="00A7106F"/>
    <w:rsid w:val="00A74236"/>
    <w:rsid w:val="00A76F22"/>
    <w:rsid w:val="00A81340"/>
    <w:rsid w:val="00A86A64"/>
    <w:rsid w:val="00A90065"/>
    <w:rsid w:val="00A93214"/>
    <w:rsid w:val="00AA7ABB"/>
    <w:rsid w:val="00AB3BAA"/>
    <w:rsid w:val="00AB407B"/>
    <w:rsid w:val="00AB6595"/>
    <w:rsid w:val="00AC0ED1"/>
    <w:rsid w:val="00AC34C8"/>
    <w:rsid w:val="00AD0484"/>
    <w:rsid w:val="00AD18E3"/>
    <w:rsid w:val="00AD5391"/>
    <w:rsid w:val="00AD68A9"/>
    <w:rsid w:val="00AE6FA2"/>
    <w:rsid w:val="00AF1668"/>
    <w:rsid w:val="00AF206C"/>
    <w:rsid w:val="00B0442F"/>
    <w:rsid w:val="00B044D0"/>
    <w:rsid w:val="00B06C3B"/>
    <w:rsid w:val="00B153E7"/>
    <w:rsid w:val="00B227E1"/>
    <w:rsid w:val="00B37690"/>
    <w:rsid w:val="00B400FD"/>
    <w:rsid w:val="00B4026F"/>
    <w:rsid w:val="00B42769"/>
    <w:rsid w:val="00B432D1"/>
    <w:rsid w:val="00B53D3A"/>
    <w:rsid w:val="00B66577"/>
    <w:rsid w:val="00B66DE1"/>
    <w:rsid w:val="00B6735E"/>
    <w:rsid w:val="00B7132F"/>
    <w:rsid w:val="00B7505D"/>
    <w:rsid w:val="00B77629"/>
    <w:rsid w:val="00B843C1"/>
    <w:rsid w:val="00B85761"/>
    <w:rsid w:val="00B87DEA"/>
    <w:rsid w:val="00B934AE"/>
    <w:rsid w:val="00B97824"/>
    <w:rsid w:val="00BA2A71"/>
    <w:rsid w:val="00BB490E"/>
    <w:rsid w:val="00BC1243"/>
    <w:rsid w:val="00BC2B4B"/>
    <w:rsid w:val="00BC5F3E"/>
    <w:rsid w:val="00BC6553"/>
    <w:rsid w:val="00BD30C5"/>
    <w:rsid w:val="00BD3869"/>
    <w:rsid w:val="00BD56C5"/>
    <w:rsid w:val="00BF046E"/>
    <w:rsid w:val="00C11049"/>
    <w:rsid w:val="00C15DB7"/>
    <w:rsid w:val="00C168AC"/>
    <w:rsid w:val="00C30685"/>
    <w:rsid w:val="00C40A59"/>
    <w:rsid w:val="00C45B59"/>
    <w:rsid w:val="00C47C1D"/>
    <w:rsid w:val="00C542C0"/>
    <w:rsid w:val="00C56D7D"/>
    <w:rsid w:val="00C63794"/>
    <w:rsid w:val="00C80F2A"/>
    <w:rsid w:val="00C842CF"/>
    <w:rsid w:val="00C9011B"/>
    <w:rsid w:val="00CA1649"/>
    <w:rsid w:val="00CA7BBD"/>
    <w:rsid w:val="00CB6CBB"/>
    <w:rsid w:val="00CB73D9"/>
    <w:rsid w:val="00CC0F4E"/>
    <w:rsid w:val="00CD18C5"/>
    <w:rsid w:val="00CD3E48"/>
    <w:rsid w:val="00CD519B"/>
    <w:rsid w:val="00CD64DF"/>
    <w:rsid w:val="00CE436C"/>
    <w:rsid w:val="00CF6231"/>
    <w:rsid w:val="00D003D9"/>
    <w:rsid w:val="00D04516"/>
    <w:rsid w:val="00D10676"/>
    <w:rsid w:val="00D12E85"/>
    <w:rsid w:val="00D151DA"/>
    <w:rsid w:val="00D157C0"/>
    <w:rsid w:val="00D239F4"/>
    <w:rsid w:val="00D3071F"/>
    <w:rsid w:val="00D41E40"/>
    <w:rsid w:val="00D508D2"/>
    <w:rsid w:val="00D5187F"/>
    <w:rsid w:val="00D52131"/>
    <w:rsid w:val="00D55BA7"/>
    <w:rsid w:val="00D61342"/>
    <w:rsid w:val="00D671EE"/>
    <w:rsid w:val="00D703EA"/>
    <w:rsid w:val="00D71A97"/>
    <w:rsid w:val="00D86FD8"/>
    <w:rsid w:val="00D92B88"/>
    <w:rsid w:val="00D978C3"/>
    <w:rsid w:val="00D97FD1"/>
    <w:rsid w:val="00DA26C0"/>
    <w:rsid w:val="00DB4974"/>
    <w:rsid w:val="00DD0157"/>
    <w:rsid w:val="00DE492D"/>
    <w:rsid w:val="00DE6768"/>
    <w:rsid w:val="00E0223E"/>
    <w:rsid w:val="00E02CF5"/>
    <w:rsid w:val="00E23550"/>
    <w:rsid w:val="00E339C1"/>
    <w:rsid w:val="00E4389E"/>
    <w:rsid w:val="00E5022A"/>
    <w:rsid w:val="00E51A6E"/>
    <w:rsid w:val="00E54726"/>
    <w:rsid w:val="00E7589E"/>
    <w:rsid w:val="00E768ED"/>
    <w:rsid w:val="00E9124F"/>
    <w:rsid w:val="00EA0956"/>
    <w:rsid w:val="00EA1D6B"/>
    <w:rsid w:val="00EA3DED"/>
    <w:rsid w:val="00ED3BA6"/>
    <w:rsid w:val="00ED74FC"/>
    <w:rsid w:val="00EE39B9"/>
    <w:rsid w:val="00EE6372"/>
    <w:rsid w:val="00EF1447"/>
    <w:rsid w:val="00F026DA"/>
    <w:rsid w:val="00F04E08"/>
    <w:rsid w:val="00F0503D"/>
    <w:rsid w:val="00F10E2D"/>
    <w:rsid w:val="00F1157E"/>
    <w:rsid w:val="00F125B3"/>
    <w:rsid w:val="00F175DE"/>
    <w:rsid w:val="00F21FF6"/>
    <w:rsid w:val="00F3065B"/>
    <w:rsid w:val="00F431CD"/>
    <w:rsid w:val="00F50060"/>
    <w:rsid w:val="00F53014"/>
    <w:rsid w:val="00F53A5E"/>
    <w:rsid w:val="00F53EC2"/>
    <w:rsid w:val="00F600A0"/>
    <w:rsid w:val="00F66E0E"/>
    <w:rsid w:val="00F71732"/>
    <w:rsid w:val="00F75ED3"/>
    <w:rsid w:val="00F85A89"/>
    <w:rsid w:val="00F85F2C"/>
    <w:rsid w:val="00F94F5C"/>
    <w:rsid w:val="00FA5E30"/>
    <w:rsid w:val="00FB37A9"/>
    <w:rsid w:val="00FC1D28"/>
    <w:rsid w:val="00FC2D89"/>
    <w:rsid w:val="00FC37C0"/>
    <w:rsid w:val="00FC4FE8"/>
    <w:rsid w:val="00FC6F31"/>
    <w:rsid w:val="00FC70F6"/>
    <w:rsid w:val="00FD0D51"/>
    <w:rsid w:val="00FD696B"/>
    <w:rsid w:val="00FE54C7"/>
    <w:rsid w:val="00FF0017"/>
    <w:rsid w:val="00FF08DC"/>
    <w:rsid w:val="00FF2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B075423"/>
  <w15:chartTrackingRefBased/>
  <w15:docId w15:val="{E710FC62-9A03-AB46-9675-AA1373CC1C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10E2D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310DCF"/>
    <w:pPr>
      <w:keepNext/>
      <w:keepLines/>
      <w:spacing w:before="340" w:after="330" w:line="578" w:lineRule="atLeast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7C7D"/>
    <w:pPr>
      <w:keepNext/>
      <w:keepLines/>
      <w:widowControl w:val="0"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noProof w:val="0"/>
      <w:color w:val="auto"/>
      <w:kern w:val="2"/>
      <w:sz w:val="32"/>
      <w:szCs w:val="32"/>
      <w14:ligatures w14:val="standardContextual"/>
    </w:rPr>
  </w:style>
  <w:style w:type="paragraph" w:styleId="3">
    <w:name w:val="heading 3"/>
    <w:basedOn w:val="a"/>
    <w:next w:val="a"/>
    <w:link w:val="30"/>
    <w:uiPriority w:val="9"/>
    <w:unhideWhenUsed/>
    <w:qFormat/>
    <w:rsid w:val="006B4AE1"/>
    <w:pPr>
      <w:keepNext/>
      <w:keepLines/>
      <w:spacing w:before="260" w:after="260" w:line="416" w:lineRule="atLeast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DPI11articletype">
    <w:name w:val="MDPI_1.1_article_type"/>
    <w:next w:val="a"/>
    <w:qFormat/>
    <w:rsid w:val="00F10E2D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a"/>
    <w:qFormat/>
    <w:rsid w:val="00F10E2D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a"/>
    <w:qFormat/>
    <w:rsid w:val="00F10E2D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a"/>
    <w:next w:val="a"/>
    <w:rsid w:val="00F10E2D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F10E2D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a"/>
    <w:qFormat/>
    <w:rsid w:val="00F10E2D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a"/>
    <w:qFormat/>
    <w:rsid w:val="00F10E2D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F10E2D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a1"/>
    <w:uiPriority w:val="99"/>
    <w:rsid w:val="000343DC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a3">
    <w:name w:val="Table Grid"/>
    <w:basedOn w:val="a1"/>
    <w:uiPriority w:val="39"/>
    <w:rsid w:val="00F10E2D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rsid w:val="00F10E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5">
    <w:name w:val="页眉 字符"/>
    <w:link w:val="a4"/>
    <w:uiPriority w:val="99"/>
    <w:rsid w:val="00F10E2D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F10E2D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F10E2D"/>
    <w:pPr>
      <w:ind w:firstLine="0"/>
    </w:pPr>
  </w:style>
  <w:style w:type="paragraph" w:customStyle="1" w:styleId="MDPI31text">
    <w:name w:val="MDPI_3.1_text"/>
    <w:qFormat/>
    <w:rsid w:val="0021592A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F10E2D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4textspacebefore">
    <w:name w:val="MDPI_3.4_text_space_before"/>
    <w:qFormat/>
    <w:rsid w:val="00F10E2D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F10E2D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F10E2D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2B3114"/>
    <w:pPr>
      <w:numPr>
        <w:numId w:val="22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2B3114"/>
    <w:pPr>
      <w:numPr>
        <w:numId w:val="20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F10E2D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F10E2D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F10E2D"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F04E08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F10E2D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F10E2D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F10E2D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81theorem">
    <w:name w:val="MDPI_8.1_theorem"/>
    <w:qFormat/>
    <w:rsid w:val="00F10E2D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F10E2D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3heading3">
    <w:name w:val="MDPI_2.3_heading3"/>
    <w:qFormat/>
    <w:rsid w:val="00F10E2D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F10E2D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F10E2D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BA2A71"/>
    <w:pPr>
      <w:numPr>
        <w:numId w:val="23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a6">
    <w:name w:val="Balloon Text"/>
    <w:basedOn w:val="a"/>
    <w:link w:val="a7"/>
    <w:uiPriority w:val="99"/>
    <w:rsid w:val="00F10E2D"/>
    <w:rPr>
      <w:rFonts w:cs="Tahoma"/>
      <w:szCs w:val="18"/>
    </w:rPr>
  </w:style>
  <w:style w:type="character" w:customStyle="1" w:styleId="a7">
    <w:name w:val="批注框文本 字符"/>
    <w:link w:val="a6"/>
    <w:uiPriority w:val="99"/>
    <w:rsid w:val="00F10E2D"/>
    <w:rPr>
      <w:rFonts w:ascii="Palatino Linotype" w:hAnsi="Palatino Linotype" w:cs="Tahoma"/>
      <w:noProof/>
      <w:color w:val="000000"/>
      <w:szCs w:val="18"/>
    </w:rPr>
  </w:style>
  <w:style w:type="character" w:styleId="a8">
    <w:name w:val="line number"/>
    <w:uiPriority w:val="99"/>
    <w:rsid w:val="002247F2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a1"/>
    <w:uiPriority w:val="99"/>
    <w:rsid w:val="00F10E2D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a9">
    <w:name w:val="Hyperlink"/>
    <w:uiPriority w:val="99"/>
    <w:rsid w:val="00F10E2D"/>
    <w:rPr>
      <w:color w:val="0000FF"/>
      <w:u w:val="single"/>
    </w:rPr>
  </w:style>
  <w:style w:type="character" w:styleId="aa">
    <w:name w:val="Unresolved Mention"/>
    <w:uiPriority w:val="99"/>
    <w:semiHidden/>
    <w:unhideWhenUsed/>
    <w:rsid w:val="00097A6D"/>
    <w:rPr>
      <w:color w:val="605E5C"/>
      <w:shd w:val="clear" w:color="auto" w:fill="E1DFDD"/>
    </w:rPr>
  </w:style>
  <w:style w:type="paragraph" w:styleId="ab">
    <w:name w:val="footer"/>
    <w:basedOn w:val="a"/>
    <w:link w:val="ac"/>
    <w:uiPriority w:val="99"/>
    <w:rsid w:val="00F10E2D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c">
    <w:name w:val="页脚 字符"/>
    <w:link w:val="ab"/>
    <w:uiPriority w:val="99"/>
    <w:rsid w:val="00F10E2D"/>
    <w:rPr>
      <w:rFonts w:ascii="Palatino Linotype" w:hAnsi="Palatino Linotype"/>
      <w:noProof/>
      <w:color w:val="000000"/>
      <w:szCs w:val="18"/>
    </w:rPr>
  </w:style>
  <w:style w:type="table" w:styleId="4">
    <w:name w:val="Plain Table 4"/>
    <w:basedOn w:val="a1"/>
    <w:uiPriority w:val="44"/>
    <w:rsid w:val="008B20C2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F10E2D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Matter"/>
    <w:qFormat/>
    <w:rsid w:val="00F10E2D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F10E2D"/>
    <w:pPr>
      <w:adjustRightInd w:val="0"/>
      <w:snapToGrid w:val="0"/>
      <w:spacing w:before="240" w:line="228" w:lineRule="auto"/>
      <w:jc w:val="both"/>
    </w:pPr>
    <w:rPr>
      <w:rFonts w:ascii="Palatino Linotype" w:hAnsi="Palatino Linotype"/>
      <w:snapToGrid w:val="0"/>
      <w:color w:val="000000"/>
      <w:sz w:val="18"/>
      <w:lang w:eastAsia="en-US" w:bidi="en-US"/>
    </w:rPr>
  </w:style>
  <w:style w:type="paragraph" w:customStyle="1" w:styleId="MDPI15academiceditor">
    <w:name w:val="MDPI_1.5_academic_editor"/>
    <w:qFormat/>
    <w:rsid w:val="00413AE8"/>
    <w:pPr>
      <w:adjustRightInd w:val="0"/>
      <w:snapToGrid w:val="0"/>
      <w:spacing w:before="12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F10E2D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F10E2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F10E2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FC70F6"/>
    <w:pPr>
      <w:adjustRightInd w:val="0"/>
      <w:snapToGrid w:val="0"/>
      <w:spacing w:before="60" w:line="240" w:lineRule="atLeast"/>
      <w:ind w:right="113"/>
      <w:jc w:val="both"/>
    </w:pPr>
    <w:rPr>
      <w:rFonts w:ascii="Palatino Linotype" w:eastAsia="Times New Roman" w:hAnsi="Palatino Linotype"/>
      <w:noProof/>
      <w:snapToGrid w:val="0"/>
      <w:color w:val="000000"/>
      <w:sz w:val="14"/>
      <w:lang w:val="en-GB" w:eastAsia="en-GB"/>
    </w:rPr>
  </w:style>
  <w:style w:type="paragraph" w:customStyle="1" w:styleId="MDPI73CopyrightImage">
    <w:name w:val="MDPI_7.3_CopyrightImage"/>
    <w:rsid w:val="00F10E2D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F10E2D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F10E2D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footerfirstpage">
    <w:name w:val="MDPI_footer_firstpage"/>
    <w:qFormat/>
    <w:rsid w:val="00F10E2D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header">
    <w:name w:val="MDPI_header"/>
    <w:qFormat/>
    <w:rsid w:val="00F10E2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F10E2D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F10E2D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a1"/>
    <w:uiPriority w:val="99"/>
    <w:rsid w:val="00F10E2D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F10E2D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F10E2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F10E2D"/>
  </w:style>
  <w:style w:type="paragraph" w:styleId="ad">
    <w:name w:val="Bibliography"/>
    <w:basedOn w:val="a"/>
    <w:next w:val="a"/>
    <w:uiPriority w:val="37"/>
    <w:unhideWhenUsed/>
    <w:rsid w:val="00F10E2D"/>
    <w:pPr>
      <w:tabs>
        <w:tab w:val="left" w:pos="380"/>
        <w:tab w:val="left" w:pos="500"/>
      </w:tabs>
      <w:spacing w:after="240" w:line="240" w:lineRule="atLeast"/>
      <w:ind w:left="504" w:hanging="504"/>
    </w:pPr>
  </w:style>
  <w:style w:type="paragraph" w:styleId="ae">
    <w:name w:val="Body Text"/>
    <w:link w:val="af"/>
    <w:rsid w:val="00F10E2D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af">
    <w:name w:val="正文文本 字符"/>
    <w:link w:val="ae"/>
    <w:rsid w:val="00F10E2D"/>
    <w:rPr>
      <w:rFonts w:ascii="Palatino Linotype" w:hAnsi="Palatino Linotype"/>
      <w:color w:val="000000"/>
      <w:sz w:val="24"/>
      <w:lang w:eastAsia="de-DE"/>
    </w:rPr>
  </w:style>
  <w:style w:type="character" w:styleId="af0">
    <w:name w:val="annotation reference"/>
    <w:rsid w:val="00F10E2D"/>
    <w:rPr>
      <w:sz w:val="21"/>
      <w:szCs w:val="21"/>
    </w:rPr>
  </w:style>
  <w:style w:type="paragraph" w:styleId="af1">
    <w:name w:val="annotation text"/>
    <w:basedOn w:val="a"/>
    <w:link w:val="af2"/>
    <w:rsid w:val="00F10E2D"/>
  </w:style>
  <w:style w:type="character" w:customStyle="1" w:styleId="af2">
    <w:name w:val="批注文字 字符"/>
    <w:link w:val="af1"/>
    <w:rsid w:val="00F10E2D"/>
    <w:rPr>
      <w:rFonts w:ascii="Palatino Linotype" w:hAnsi="Palatino Linotype"/>
      <w:noProof/>
      <w:color w:val="000000"/>
    </w:rPr>
  </w:style>
  <w:style w:type="paragraph" w:styleId="af3">
    <w:name w:val="annotation subject"/>
    <w:basedOn w:val="af1"/>
    <w:next w:val="af1"/>
    <w:link w:val="af4"/>
    <w:rsid w:val="00F10E2D"/>
    <w:rPr>
      <w:b/>
      <w:bCs/>
    </w:rPr>
  </w:style>
  <w:style w:type="character" w:customStyle="1" w:styleId="af4">
    <w:name w:val="批注主题 字符"/>
    <w:link w:val="af3"/>
    <w:rsid w:val="00F10E2D"/>
    <w:rPr>
      <w:rFonts w:ascii="Palatino Linotype" w:hAnsi="Palatino Linotype"/>
      <w:b/>
      <w:bCs/>
      <w:noProof/>
      <w:color w:val="000000"/>
    </w:rPr>
  </w:style>
  <w:style w:type="character" w:styleId="af5">
    <w:name w:val="endnote reference"/>
    <w:rsid w:val="00F10E2D"/>
    <w:rPr>
      <w:vertAlign w:val="superscript"/>
    </w:rPr>
  </w:style>
  <w:style w:type="paragraph" w:styleId="af6">
    <w:name w:val="endnote text"/>
    <w:basedOn w:val="a"/>
    <w:link w:val="af7"/>
    <w:semiHidden/>
    <w:unhideWhenUsed/>
    <w:rsid w:val="00F10E2D"/>
    <w:pPr>
      <w:spacing w:line="240" w:lineRule="auto"/>
    </w:pPr>
  </w:style>
  <w:style w:type="character" w:customStyle="1" w:styleId="af7">
    <w:name w:val="尾注文本 字符"/>
    <w:link w:val="af6"/>
    <w:semiHidden/>
    <w:rsid w:val="00F10E2D"/>
    <w:rPr>
      <w:rFonts w:ascii="Palatino Linotype" w:hAnsi="Palatino Linotype"/>
      <w:noProof/>
      <w:color w:val="000000"/>
    </w:rPr>
  </w:style>
  <w:style w:type="character" w:styleId="af8">
    <w:name w:val="FollowedHyperlink"/>
    <w:rsid w:val="00F10E2D"/>
    <w:rPr>
      <w:color w:val="954F72"/>
      <w:u w:val="single"/>
    </w:rPr>
  </w:style>
  <w:style w:type="paragraph" w:styleId="af9">
    <w:name w:val="footnote text"/>
    <w:basedOn w:val="a"/>
    <w:link w:val="afa"/>
    <w:semiHidden/>
    <w:unhideWhenUsed/>
    <w:rsid w:val="00F10E2D"/>
    <w:pPr>
      <w:spacing w:line="240" w:lineRule="auto"/>
    </w:pPr>
  </w:style>
  <w:style w:type="character" w:customStyle="1" w:styleId="afa">
    <w:name w:val="脚注文本 字符"/>
    <w:link w:val="af9"/>
    <w:semiHidden/>
    <w:rsid w:val="00F10E2D"/>
    <w:rPr>
      <w:rFonts w:ascii="Palatino Linotype" w:hAnsi="Palatino Linotype"/>
      <w:noProof/>
      <w:color w:val="000000"/>
    </w:rPr>
  </w:style>
  <w:style w:type="paragraph" w:styleId="afb">
    <w:name w:val="Normal (Web)"/>
    <w:basedOn w:val="a"/>
    <w:uiPriority w:val="99"/>
    <w:rsid w:val="00F10E2D"/>
    <w:rPr>
      <w:szCs w:val="24"/>
    </w:rPr>
  </w:style>
  <w:style w:type="paragraph" w:customStyle="1" w:styleId="MsoFootnoteText0">
    <w:name w:val="MsoFootnoteText"/>
    <w:basedOn w:val="afb"/>
    <w:qFormat/>
    <w:rsid w:val="00F10E2D"/>
    <w:rPr>
      <w:rFonts w:ascii="Times New Roman" w:hAnsi="Times New Roman"/>
    </w:rPr>
  </w:style>
  <w:style w:type="character" w:styleId="afc">
    <w:name w:val="page number"/>
    <w:rsid w:val="00F10E2D"/>
  </w:style>
  <w:style w:type="character" w:styleId="afd">
    <w:name w:val="Placeholder Text"/>
    <w:uiPriority w:val="99"/>
    <w:semiHidden/>
    <w:rsid w:val="00F10E2D"/>
    <w:rPr>
      <w:color w:val="808080"/>
    </w:rPr>
  </w:style>
  <w:style w:type="paragraph" w:customStyle="1" w:styleId="MDPI71FootNotes">
    <w:name w:val="MDPI_7.1_FootNotes"/>
    <w:qFormat/>
    <w:rsid w:val="00936C16"/>
    <w:pPr>
      <w:numPr>
        <w:numId w:val="21"/>
      </w:numPr>
      <w:adjustRightInd w:val="0"/>
      <w:snapToGrid w:val="0"/>
      <w:spacing w:line="228" w:lineRule="auto"/>
    </w:pPr>
    <w:rPr>
      <w:rFonts w:ascii="Palatino Linotype" w:eastAsiaTheme="minorEastAsia" w:hAnsi="Palatino Linotype"/>
      <w:noProof/>
      <w:color w:val="000000"/>
      <w:sz w:val="18"/>
    </w:rPr>
  </w:style>
  <w:style w:type="character" w:customStyle="1" w:styleId="ne-text">
    <w:name w:val="ne-text"/>
    <w:basedOn w:val="a0"/>
    <w:rsid w:val="005B5455"/>
  </w:style>
  <w:style w:type="character" w:customStyle="1" w:styleId="20">
    <w:name w:val="标题 2 字符"/>
    <w:basedOn w:val="a0"/>
    <w:link w:val="2"/>
    <w:uiPriority w:val="9"/>
    <w:rsid w:val="002A7C7D"/>
    <w:rPr>
      <w:rFonts w:asciiTheme="majorHAnsi" w:eastAsiaTheme="majorEastAsia" w:hAnsiTheme="majorHAnsi" w:cstheme="majorBidi"/>
      <w:b/>
      <w:bCs/>
      <w:kern w:val="2"/>
      <w:sz w:val="32"/>
      <w:szCs w:val="32"/>
      <w14:ligatures w14:val="standardContextual"/>
    </w:rPr>
  </w:style>
  <w:style w:type="paragraph" w:customStyle="1" w:styleId="11">
    <w:name w:val="书目1"/>
    <w:basedOn w:val="a"/>
    <w:link w:val="Bibliography"/>
    <w:rsid w:val="00403CF6"/>
    <w:pPr>
      <w:tabs>
        <w:tab w:val="left" w:pos="657"/>
      </w:tabs>
      <w:autoSpaceDE w:val="0"/>
      <w:autoSpaceDN w:val="0"/>
      <w:adjustRightInd w:val="0"/>
      <w:spacing w:after="240" w:line="240" w:lineRule="atLeast"/>
      <w:ind w:left="720" w:hanging="720"/>
    </w:pPr>
    <w:rPr>
      <w:rFonts w:ascii="Times New Roman" w:hAnsi="Times New Roman"/>
      <w:szCs w:val="21"/>
    </w:rPr>
  </w:style>
  <w:style w:type="character" w:customStyle="1" w:styleId="Bibliography">
    <w:name w:val="Bibliography 字符"/>
    <w:basedOn w:val="a0"/>
    <w:link w:val="11"/>
    <w:rsid w:val="00403CF6"/>
    <w:rPr>
      <w:rFonts w:ascii="Times New Roman" w:hAnsi="Times New Roman"/>
      <w:noProof/>
      <w:color w:val="000000"/>
      <w:szCs w:val="21"/>
    </w:rPr>
  </w:style>
  <w:style w:type="character" w:customStyle="1" w:styleId="30">
    <w:name w:val="标题 3 字符"/>
    <w:basedOn w:val="a0"/>
    <w:link w:val="3"/>
    <w:uiPriority w:val="9"/>
    <w:rsid w:val="006B4AE1"/>
    <w:rPr>
      <w:rFonts w:ascii="Palatino Linotype" w:hAnsi="Palatino Linotype"/>
      <w:b/>
      <w:bCs/>
      <w:noProof/>
      <w:color w:val="000000"/>
      <w:sz w:val="32"/>
      <w:szCs w:val="32"/>
    </w:rPr>
  </w:style>
  <w:style w:type="character" w:customStyle="1" w:styleId="id-label">
    <w:name w:val="id-label"/>
    <w:basedOn w:val="a0"/>
    <w:rsid w:val="00591A33"/>
  </w:style>
  <w:style w:type="paragraph" w:styleId="afe">
    <w:name w:val="Revision"/>
    <w:hidden/>
    <w:uiPriority w:val="99"/>
    <w:semiHidden/>
    <w:rsid w:val="00210789"/>
    <w:rPr>
      <w:rFonts w:ascii="Palatino Linotype" w:hAnsi="Palatino Linotype"/>
      <w:noProof/>
      <w:color w:val="000000"/>
    </w:rPr>
  </w:style>
  <w:style w:type="paragraph" w:customStyle="1" w:styleId="p1">
    <w:name w:val="p1"/>
    <w:basedOn w:val="a"/>
    <w:rsid w:val="00DA26C0"/>
    <w:pPr>
      <w:spacing w:line="240" w:lineRule="auto"/>
      <w:jc w:val="left"/>
    </w:pPr>
    <w:rPr>
      <w:rFonts w:ascii=".AppleSystemUIFont" w:hAnsi=".AppleSystemUIFont" w:cs="宋体"/>
      <w:noProof w:val="0"/>
      <w:color w:val="0E0E0E"/>
    </w:rPr>
  </w:style>
  <w:style w:type="character" w:customStyle="1" w:styleId="s1">
    <w:name w:val="s1"/>
    <w:basedOn w:val="a0"/>
    <w:rsid w:val="004F4F54"/>
    <w:rPr>
      <w:rFonts w:ascii="Helvetica" w:hAnsi="Helvetica" w:hint="default"/>
      <w:color w:val="000000"/>
      <w:sz w:val="18"/>
      <w:szCs w:val="18"/>
    </w:rPr>
  </w:style>
  <w:style w:type="paragraph" w:customStyle="1" w:styleId="p2">
    <w:name w:val="p2"/>
    <w:basedOn w:val="a"/>
    <w:rsid w:val="009F5A09"/>
    <w:pPr>
      <w:spacing w:line="240" w:lineRule="auto"/>
      <w:jc w:val="left"/>
    </w:pPr>
    <w:rPr>
      <w:rFonts w:ascii=".AppleSystemUIFont" w:hAnsi=".AppleSystemUIFont" w:cs="宋体"/>
      <w:noProof w:val="0"/>
      <w:color w:val="0E0E0E"/>
      <w:sz w:val="21"/>
      <w:szCs w:val="21"/>
    </w:rPr>
  </w:style>
  <w:style w:type="character" w:customStyle="1" w:styleId="10">
    <w:name w:val="标题 1 字符"/>
    <w:basedOn w:val="a0"/>
    <w:link w:val="1"/>
    <w:uiPriority w:val="9"/>
    <w:rsid w:val="00310DCF"/>
    <w:rPr>
      <w:rFonts w:ascii="Palatino Linotype" w:hAnsi="Palatino Linotype"/>
      <w:b/>
      <w:bCs/>
      <w:noProof/>
      <w:color w:val="000000"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439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1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2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8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7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9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42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1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0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84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3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4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1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tiff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drgong/Downloads/biomolecules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A699C45-2CE8-3444-A2A1-F401902E5F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biomolecules-template.dot</Template>
  <TotalTime>0</TotalTime>
  <Pages>9</Pages>
  <Words>671</Words>
  <Characters>3829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4492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Microsoft Office User</dc:creator>
  <cp:keywords/>
  <dc:description/>
  <cp:lastModifiedBy>zhiwen gong</cp:lastModifiedBy>
  <cp:revision>3</cp:revision>
  <cp:lastPrinted>2025-06-09T14:35:00Z</cp:lastPrinted>
  <dcterms:created xsi:type="dcterms:W3CDTF">2025-06-09T14:35:00Z</dcterms:created>
  <dcterms:modified xsi:type="dcterms:W3CDTF">2025-06-09T14:35:00Z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zotero-version="7.0"&gt;&lt;session id="CpRjj75d"/&gt;&lt;style id="http://www.zotero.org/styles/american-medical-association-brackets" hasBibliography="1" bibliographyStyleHasBeenSet="1"/&gt;&lt;prefs&gt;&lt;pref name="fieldType" value="Field"/&gt;&lt;pref name</vt:lpwstr>
  </property>
  <property fmtid="{D5CDD505-2E9C-101B-9397-08002B2CF9AE}" pid="3" name="ZOTERO_PREF_2">
    <vt:lpwstr>="dontAskDelayCitationUpdates" value="true"/&gt;&lt;/prefs&gt;&lt;/data&gt;</vt:lpwstr>
  </property>
</Properties>
</file>